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甘</w:t>
      </w:r>
      <w:r>
        <w:rPr>
          <w:rFonts w:ascii="仿宋_GB2312" w:eastAsia="仿宋_GB2312"/>
          <w:color w:val="000000" w:themeColor="text1"/>
          <w:sz w:val="32"/>
          <w:szCs w:val="32"/>
          <w14:textFill>
            <w14:solidFill>
              <w14:schemeClr w14:val="tx1"/>
            </w14:solidFill>
          </w14:textFill>
        </w:rPr>
        <w:t>建</w:t>
      </w:r>
      <w:r>
        <w:rPr>
          <w:rFonts w:hint="eastAsia" w:ascii="仿宋_GB2312" w:eastAsia="仿宋_GB2312"/>
          <w:color w:val="000000" w:themeColor="text1"/>
          <w:sz w:val="32"/>
          <w:szCs w:val="32"/>
          <w14:textFill>
            <w14:solidFill>
              <w14:schemeClr w14:val="tx1"/>
            </w14:solidFill>
          </w14:textFill>
        </w:rPr>
        <w:t>建〔2020〕160号</w:t>
      </w:r>
    </w:p>
    <w:p>
      <w:pPr>
        <w:snapToGrid w:val="0"/>
        <w:spacing w:line="112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jc w:val="center"/>
        <w:rPr>
          <w:rFonts w:hint="eastAsia" w:ascii="方正小标宋简体" w:eastAsia="方正小标宋简体"/>
          <w:color w:val="000000" w:themeColor="text1"/>
          <w:w w:val="95"/>
          <w:sz w:val="44"/>
          <w:szCs w:val="44"/>
          <w14:textFill>
            <w14:solidFill>
              <w14:schemeClr w14:val="tx1"/>
            </w14:solidFill>
          </w14:textFill>
        </w:rPr>
      </w:pPr>
      <w:r>
        <w:rPr>
          <w:rFonts w:hint="eastAsia" w:ascii="方正小标宋简体" w:eastAsia="方正小标宋简体"/>
          <w:color w:val="000000" w:themeColor="text1"/>
          <w:w w:val="95"/>
          <w:sz w:val="44"/>
          <w:szCs w:val="44"/>
          <w14:textFill>
            <w14:solidFill>
              <w14:schemeClr w14:val="tx1"/>
            </w14:solidFill>
          </w14:textFill>
        </w:rPr>
        <w:t>甘肃省住房和城乡建设厅</w:t>
      </w:r>
    </w:p>
    <w:p>
      <w:pPr>
        <w:snapToGrid w:val="0"/>
        <w:spacing w:line="640" w:lineRule="atLeast"/>
        <w:jc w:val="center"/>
        <w:rPr>
          <w:rFonts w:ascii="方正小标宋简体" w:eastAsia="方正小标宋简体"/>
          <w:color w:val="000000" w:themeColor="text1"/>
          <w:w w:val="95"/>
          <w:sz w:val="44"/>
          <w:szCs w:val="44"/>
          <w14:textFill>
            <w14:solidFill>
              <w14:schemeClr w14:val="tx1"/>
            </w14:solidFill>
          </w14:textFill>
        </w:rPr>
      </w:pPr>
      <w:r>
        <w:rPr>
          <w:rFonts w:hint="eastAsia" w:ascii="方正小标宋简体" w:eastAsia="方正小标宋简体"/>
          <w:color w:val="000000" w:themeColor="text1"/>
          <w:w w:val="95"/>
          <w:sz w:val="44"/>
          <w:szCs w:val="44"/>
          <w14:textFill>
            <w14:solidFill>
              <w14:schemeClr w14:val="tx1"/>
            </w14:solidFill>
          </w14:textFill>
        </w:rPr>
        <w:t>关于印发《</w:t>
      </w:r>
      <w:bookmarkStart w:id="2" w:name="_GoBack"/>
      <w:r>
        <w:rPr>
          <w:rFonts w:hint="eastAsia" w:ascii="方正小标宋简体" w:eastAsia="方正小标宋简体"/>
          <w:color w:val="000000" w:themeColor="text1"/>
          <w:w w:val="95"/>
          <w:sz w:val="44"/>
          <w:szCs w:val="44"/>
          <w14:textFill>
            <w14:solidFill>
              <w14:schemeClr w14:val="tx1"/>
            </w14:solidFill>
          </w14:textFill>
        </w:rPr>
        <w:t>甘肃省房屋建筑和市政基础设施项目</w:t>
      </w:r>
    </w:p>
    <w:p>
      <w:pPr>
        <w:snapToGrid w:val="0"/>
        <w:spacing w:line="640" w:lineRule="atLeast"/>
        <w:jc w:val="center"/>
        <w:rPr>
          <w:rFonts w:hint="eastAsia" w:ascii="方正小标宋简体" w:eastAsia="方正小标宋简体"/>
          <w:color w:val="000000" w:themeColor="text1"/>
          <w:w w:val="95"/>
          <w:sz w:val="44"/>
          <w:szCs w:val="44"/>
          <w14:textFill>
            <w14:solidFill>
              <w14:schemeClr w14:val="tx1"/>
            </w14:solidFill>
          </w14:textFill>
        </w:rPr>
      </w:pPr>
      <w:r>
        <w:rPr>
          <w:rFonts w:hint="eastAsia" w:ascii="方正小标宋简体" w:eastAsia="方正小标宋简体"/>
          <w:color w:val="000000" w:themeColor="text1"/>
          <w:w w:val="95"/>
          <w:sz w:val="44"/>
          <w:szCs w:val="44"/>
          <w14:textFill>
            <w14:solidFill>
              <w14:schemeClr w14:val="tx1"/>
            </w14:solidFill>
          </w14:textFill>
        </w:rPr>
        <w:t>工程总承包招标评标定标办法</w:t>
      </w:r>
      <w:bookmarkEnd w:id="2"/>
      <w:r>
        <w:rPr>
          <w:rFonts w:hint="eastAsia" w:ascii="方正小标宋简体" w:eastAsia="方正小标宋简体"/>
          <w:color w:val="000000" w:themeColor="text1"/>
          <w:w w:val="95"/>
          <w:sz w:val="44"/>
          <w:szCs w:val="44"/>
          <w14:textFill>
            <w14:solidFill>
              <w14:schemeClr w14:val="tx1"/>
            </w14:solidFill>
          </w14:textFill>
        </w:rPr>
        <w:t>》的通知</w:t>
      </w: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各市（州）住建局、兰州新区城乡建设和交通管理局、甘肃矿区建设局:</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住房和城乡建设部《关于进一步加强房屋建筑和市政基础设施工程招标投标监管的指导意见》（建市规〔2019〕11号）和住房和城乡建设部、国家发展改革委《房屋建筑和市政基础设施项目工程总承包管理办法》（建市规〔2019〕12号）要求，我厅结合本省实际情况，制定本办法，请遵照执行。</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附件：甘肃省房屋建筑和市政基础设施项目工程总承包招</w:t>
      </w:r>
    </w:p>
    <w:p>
      <w:pPr>
        <w:snapToGrid w:val="0"/>
        <w:spacing w:line="640" w:lineRule="atLeast"/>
        <w:ind w:firstLine="1600" w:firstLineChars="5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标评标定标办法</w:t>
      </w: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ind w:firstLine="4480" w:firstLineChars="14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甘肃省住房和城乡建设厅</w:t>
      </w:r>
    </w:p>
    <w:p>
      <w:pPr>
        <w:snapToGrid w:val="0"/>
        <w:spacing w:line="640" w:lineRule="atLeast"/>
        <w:ind w:firstLine="4960" w:firstLineChars="155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2020年4月</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日</w:t>
      </w: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甘肃省房屋建筑和市政基础设施项目</w:t>
      </w:r>
    </w:p>
    <w:p>
      <w:pPr>
        <w:snapToGrid w:val="0"/>
        <w:spacing w:line="640" w:lineRule="atLeas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工程总承包招标评标定标办法</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ascii="黑体" w:hAnsi="黑体" w:eastAsia="黑体"/>
          <w:color w:val="000000" w:themeColor="text1"/>
          <w:sz w:val="32"/>
          <w:szCs w:val="32"/>
          <w14:textFill>
            <w14:solidFill>
              <w14:schemeClr w14:val="tx1"/>
            </w14:solidFill>
          </w14:textFill>
        </w:rPr>
        <w:t>一章</w:t>
      </w:r>
      <w:r>
        <w:rPr>
          <w:rFonts w:hint="eastAsia" w:ascii="黑体" w:hAnsi="黑体" w:eastAsia="黑体"/>
          <w:color w:val="000000" w:themeColor="text1"/>
          <w:sz w:val="32"/>
          <w:szCs w:val="32"/>
          <w14:textFill>
            <w14:solidFill>
              <w14:schemeClr w14:val="tx1"/>
            </w14:solidFill>
          </w14:textFill>
        </w:rPr>
        <w:t xml:space="preserve">  总  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第一条  </w:t>
      </w:r>
      <w:r>
        <w:rPr>
          <w:rFonts w:hint="eastAsia" w:ascii="仿宋_GB2312" w:eastAsia="仿宋_GB2312"/>
          <w:color w:val="000000" w:themeColor="text1"/>
          <w:sz w:val="32"/>
          <w:szCs w:val="32"/>
          <w14:textFill>
            <w14:solidFill>
              <w14:schemeClr w14:val="tx1"/>
            </w14:solidFill>
          </w14:textFill>
        </w:rPr>
        <w:t>为推进我省房屋建筑和市政基础设施项目工程总承包的发展，规范我省房屋建筑和市政基础设施项目工程总承包招标投标活动，根据住房和城乡建设部《关于进一步加强房屋建筑和市政基础设施工程招标投标监管的指导意见》（建市规〔2019〕11号）和住房和城乡建设部、国家发展改革委《房屋建筑和市政基础设施项目工程总承包管理办法》（建市规〔2019〕12号），结合本省实际情况，制定本办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第二条  </w:t>
      </w:r>
      <w:r>
        <w:rPr>
          <w:rFonts w:hint="eastAsia" w:ascii="仿宋_GB2312" w:eastAsia="仿宋_GB2312"/>
          <w:color w:val="000000" w:themeColor="text1"/>
          <w:sz w:val="32"/>
          <w:szCs w:val="32"/>
          <w14:textFill>
            <w14:solidFill>
              <w14:schemeClr w14:val="tx1"/>
            </w14:solidFill>
          </w14:textFill>
        </w:rPr>
        <w:t>工程总承包可以促进设计与施工深度融合，尤其是施工图设计与施工的融合，体现经济、技术、组织、管理、协调等资源高效配置。</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第三条  </w:t>
      </w:r>
      <w:r>
        <w:rPr>
          <w:rFonts w:hint="eastAsia" w:ascii="仿宋_GB2312" w:eastAsia="仿宋_GB2312"/>
          <w:color w:val="000000" w:themeColor="text1"/>
          <w:sz w:val="32"/>
          <w:szCs w:val="32"/>
          <w14:textFill>
            <w14:solidFill>
              <w14:schemeClr w14:val="tx1"/>
            </w14:solidFill>
          </w14:textFill>
        </w:rPr>
        <w:t>工程招投标活动由招标人依法负责，招标人承担招投标活动的首要责任。</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第四条  </w:t>
      </w:r>
      <w:r>
        <w:rPr>
          <w:rFonts w:hint="eastAsia" w:ascii="仿宋_GB2312" w:eastAsia="仿宋_GB2312"/>
          <w:color w:val="000000" w:themeColor="text1"/>
          <w:sz w:val="32"/>
          <w:szCs w:val="32"/>
          <w14:textFill>
            <w14:solidFill>
              <w14:schemeClr w14:val="tx1"/>
            </w14:solidFill>
          </w14:textFill>
        </w:rPr>
        <w:t>本省行政区域内的房屋建筑和市政基础设施项目，其工程总承包招标投标活动适用本办法。</w:t>
      </w:r>
    </w:p>
    <w:p>
      <w:pPr>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ascii="黑体" w:hAnsi="黑体" w:eastAsia="黑体"/>
          <w:color w:val="000000" w:themeColor="text1"/>
          <w:sz w:val="32"/>
          <w:szCs w:val="32"/>
          <w14:textFill>
            <w14:solidFill>
              <w14:schemeClr w14:val="tx1"/>
            </w14:solidFill>
          </w14:textFill>
        </w:rPr>
        <w:t>二章</w:t>
      </w:r>
      <w:r>
        <w:rPr>
          <w:rFonts w:hint="eastAsia" w:ascii="黑体" w:hAnsi="黑体" w:eastAsia="黑体"/>
          <w:color w:val="000000" w:themeColor="text1"/>
          <w:sz w:val="32"/>
          <w:szCs w:val="32"/>
          <w14:textFill>
            <w14:solidFill>
              <w14:schemeClr w14:val="tx1"/>
            </w14:solidFill>
          </w14:textFill>
        </w:rPr>
        <w:t xml:space="preserve">  招标条件</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第五条  </w:t>
      </w:r>
      <w:r>
        <w:rPr>
          <w:rFonts w:hint="eastAsia" w:ascii="仿宋_GB2312" w:eastAsia="仿宋_GB2312"/>
          <w:color w:val="000000" w:themeColor="text1"/>
          <w:sz w:val="32"/>
          <w:szCs w:val="32"/>
          <w14:textFill>
            <w14:solidFill>
              <w14:schemeClr w14:val="tx1"/>
            </w14:solidFill>
          </w14:textFill>
        </w:rPr>
        <w:t>工程总承包项目范围内的设计、采购或者施工中，有任一项属于依法必须进行招标的项目范围且达到国家规定规模标准的，应当采用招标的方式选择工程总承包单位。</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第六条  </w:t>
      </w:r>
      <w:r>
        <w:rPr>
          <w:rFonts w:hint="eastAsia" w:ascii="仿宋_GB2312" w:eastAsia="仿宋_GB2312"/>
          <w:color w:val="000000" w:themeColor="text1"/>
          <w:sz w:val="32"/>
          <w:szCs w:val="32"/>
          <w14:textFill>
            <w14:solidFill>
              <w14:schemeClr w14:val="tx1"/>
            </w14:solidFill>
          </w14:textFill>
        </w:rPr>
        <w:t>招标人可根据项目特点，在可行性研究或者初步设计完成后，以工程投资估算或者概算为经济控制指标，以限额设计为控制手段，按照相关技术规范、标准和确定的建设范围、建设规模、建设标准、功能需求、投资限额、工程质量、工程进度等要求，进行工程总承包招标。</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可行性研究、初步设计应当履行审批手续的，经批准后方可进行下一阶段的工程总承包招标。</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第七条  </w:t>
      </w:r>
      <w:r>
        <w:rPr>
          <w:rFonts w:hint="eastAsia" w:ascii="仿宋_GB2312" w:eastAsia="仿宋_GB2312"/>
          <w:color w:val="000000" w:themeColor="text1"/>
          <w:sz w:val="32"/>
          <w:szCs w:val="32"/>
          <w14:textFill>
            <w14:solidFill>
              <w14:schemeClr w14:val="tx1"/>
            </w14:solidFill>
          </w14:textFill>
        </w:rPr>
        <w:t>建设单位缺少工程总承包项目管理经验或风险管控能力不强的，宜在初步设计完成后实施工程总承包。</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采用工程总承包方式的政府投资项目，原则上应当在初步设计审批完成后进行工程总承包项目发包。</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装配式建筑必须采用工程总承包模式。</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非国有资金的房屋建筑和市政基础设施项目实施工程总承包招标投标活动可参照本办法执行，也可自主确定发包方式。</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ascii="黑体" w:hAnsi="黑体" w:eastAsia="黑体"/>
          <w:color w:val="000000" w:themeColor="text1"/>
          <w:sz w:val="32"/>
          <w:szCs w:val="32"/>
          <w14:textFill>
            <w14:solidFill>
              <w14:schemeClr w14:val="tx1"/>
            </w14:solidFill>
          </w14:textFill>
        </w:rPr>
        <w:t>三章</w:t>
      </w:r>
      <w:r>
        <w:rPr>
          <w:rFonts w:hint="eastAsia" w:ascii="黑体" w:hAnsi="黑体" w:eastAsia="黑体"/>
          <w:color w:val="000000" w:themeColor="text1"/>
          <w:sz w:val="32"/>
          <w:szCs w:val="32"/>
          <w14:textFill>
            <w14:solidFill>
              <w14:schemeClr w14:val="tx1"/>
            </w14:solidFill>
          </w14:textFill>
        </w:rPr>
        <w:t xml:space="preserve">  招标文件编制</w:t>
      </w:r>
    </w:p>
    <w:p>
      <w:pPr>
        <w:snapToGrid w:val="0"/>
        <w:spacing w:line="60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第八条  </w:t>
      </w:r>
      <w:r>
        <w:rPr>
          <w:rFonts w:hint="eastAsia" w:ascii="仿宋_GB2312" w:eastAsia="仿宋_GB2312"/>
          <w:color w:val="000000" w:themeColor="text1"/>
          <w:sz w:val="32"/>
          <w:szCs w:val="32"/>
          <w14:textFill>
            <w14:solidFill>
              <w14:schemeClr w14:val="tx1"/>
            </w14:solidFill>
          </w14:textFill>
        </w:rPr>
        <w:t>招标人可参考《甘肃省房屋建筑和市政基础设施项目标准工程总承包招标文件》，结合招标项目的具体特点和所处的设计阶段编制招标文件。招标文件至少应当明确下列事项：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（一）建设单位提供的资料和条件，包括发包前完成的水文地质、工程地质、地形等勘察资料，以及可行性研究报告或者初步设计文件等。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（二）招标的内容及范围，主要包括：</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1．勘察、设计范围及有关的基础资料和技术参数，对勘察、设计的进度、阶段和深度及知识产权等要求；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2．采购范围及有关的基础资料，对采购设备和材料的质量、供货方式、设备安装进度等要求；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3．施工范围，对土建、道路及设备安装的技术要求，对试运行的要求。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（三）招标人与中标人的责任和权利，主要包括工作范围、风险划分、项目目标、价格形式及调整、计量支付、变更程序及变更价款的确定、索赔程序、违约责任、工程保险、不可抗力处理条款等。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（四）投标文件编制要求。明确投标报价、承包人建议书（包括设计方案、设备方案及分包方案）、承包人实施计划（即项目管理组织方案）、资信业绩的编制深度、编制方法和要求。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（五）最高投标限价或者最高投标限价的计算方法。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（六）履约保证金或者其他形式履约担保的金额及提交要求。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（七）工程分包的规定和要求，以及工程允许分包的专业及范围。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（八）是否采取装配式建造方式及有关技术指标等。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（九）技术创新、节约能源、生态环境保护等方面的要求。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（十）报价清单。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招标文件不能达到或者满足上述要求的项目，视为不具备工程总承包招标的条件。</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第九条  </w:t>
      </w:r>
      <w:r>
        <w:rPr>
          <w:rFonts w:hint="eastAsia" w:ascii="仿宋_GB2312" w:eastAsia="仿宋_GB2312"/>
          <w:color w:val="000000" w:themeColor="text1"/>
          <w:sz w:val="32"/>
          <w:szCs w:val="32"/>
          <w14:textFill>
            <w14:solidFill>
              <w14:schemeClr w14:val="tx1"/>
            </w14:solidFill>
          </w14:textFill>
        </w:rPr>
        <w:t>工程总承包项目宜采用住房和城乡建设部、原国家工商行政管理总局联合制定的工程总承包合同示范文本。</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第十条  </w:t>
      </w:r>
      <w:r>
        <w:rPr>
          <w:rFonts w:hint="eastAsia" w:ascii="仿宋_GB2312" w:eastAsia="仿宋_GB2312"/>
          <w:color w:val="000000" w:themeColor="text1"/>
          <w:sz w:val="32"/>
          <w:szCs w:val="32"/>
          <w14:textFill>
            <w14:solidFill>
              <w14:schemeClr w14:val="tx1"/>
            </w14:solidFill>
          </w14:textFill>
        </w:rPr>
        <w:t>招标人应当根据国家和我省有关计价规定提供与招标项目建设规模、建设标准、功能需求等相一致的总承包计价清单，作为投标人报价的共同基础。签订合同或办理结算时，发现总承包计价清单与招标项目的建设规模、建设标准、功能需求等要求不一致的，应当对由此产生的价差进行调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第十一条  </w:t>
      </w:r>
      <w:r>
        <w:rPr>
          <w:rFonts w:hint="eastAsia" w:ascii="仿宋_GB2312" w:eastAsia="仿宋_GB2312"/>
          <w:color w:val="000000" w:themeColor="text1"/>
          <w:sz w:val="32"/>
          <w:szCs w:val="32"/>
          <w14:textFill>
            <w14:solidFill>
              <w14:schemeClr w14:val="tx1"/>
            </w14:solidFill>
          </w14:textFill>
        </w:rPr>
        <w:t>招标人应当根据不同阶段的设计文件，参考工程造价指标、估算指标、概算定额等设定最高投标限价。</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第十二条  </w:t>
      </w:r>
      <w:r>
        <w:rPr>
          <w:rFonts w:hint="eastAsia" w:ascii="仿宋_GB2312" w:eastAsia="仿宋_GB2312"/>
          <w:color w:val="000000" w:themeColor="text1"/>
          <w:sz w:val="32"/>
          <w:szCs w:val="32"/>
          <w14:textFill>
            <w14:solidFill>
              <w14:schemeClr w14:val="tx1"/>
            </w14:solidFill>
          </w14:textFill>
        </w:rPr>
        <w:t>最高投标限价原则上不得高于投资估算或初步设计概算的相应金额。项目建设过程中，发现投资估算或初步设计概算明显错误的，应当按规定报批调整。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第十三条  </w:t>
      </w:r>
      <w:r>
        <w:rPr>
          <w:rFonts w:hint="eastAsia" w:ascii="仿宋_GB2312" w:eastAsia="仿宋_GB2312"/>
          <w:color w:val="000000" w:themeColor="text1"/>
          <w:sz w:val="32"/>
          <w:szCs w:val="32"/>
          <w14:textFill>
            <w14:solidFill>
              <w14:schemeClr w14:val="tx1"/>
            </w14:solidFill>
          </w14:textFill>
        </w:rPr>
        <w:t>招标人可以根据工程总承包项目的规模、特点等因素合理确定投标保证金的金额，但不得超过招标项目估算价的2%且不高于80万元。投标保证金有效期应当与投标有效期一致。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鼓励采用银行保函、工程担保公司保函、工程保证保险等非现金形式递交投标保证金；对于以非现金形式提交的投标保证金招标人不得拒绝。</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ascii="黑体" w:hAnsi="黑体" w:eastAsia="黑体"/>
          <w:color w:val="000000" w:themeColor="text1"/>
          <w:sz w:val="32"/>
          <w:szCs w:val="32"/>
          <w14:textFill>
            <w14:solidFill>
              <w14:schemeClr w14:val="tx1"/>
            </w14:solidFill>
          </w14:textFill>
        </w:rPr>
        <w:t>四章</w:t>
      </w:r>
      <w:r>
        <w:rPr>
          <w:rFonts w:hint="eastAsia" w:ascii="黑体" w:hAnsi="黑体" w:eastAsia="黑体"/>
          <w:color w:val="000000" w:themeColor="text1"/>
          <w:sz w:val="32"/>
          <w:szCs w:val="32"/>
          <w14:textFill>
            <w14:solidFill>
              <w14:schemeClr w14:val="tx1"/>
            </w14:solidFill>
          </w14:textFill>
        </w:rPr>
        <w:t xml:space="preserve">  开标、评标和定标</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第十四条  </w:t>
      </w:r>
      <w:r>
        <w:rPr>
          <w:rFonts w:hint="eastAsia" w:ascii="仿宋_GB2312" w:eastAsia="仿宋_GB2312"/>
          <w:color w:val="000000" w:themeColor="text1"/>
          <w:sz w:val="32"/>
          <w:szCs w:val="32"/>
          <w14:textFill>
            <w14:solidFill>
              <w14:schemeClr w14:val="tx1"/>
            </w14:solidFill>
          </w14:textFill>
        </w:rPr>
        <w:t>开标前，投标人有下列情形之一的，招标人不予受理：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（一）逾期送达或者未送达指定地点；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（二）未按招标文件要求密封；</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（三）投标人法定代表人或者授权的委托代理人未参加开标会议。</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第十五条  </w:t>
      </w:r>
      <w:r>
        <w:rPr>
          <w:rFonts w:hint="eastAsia" w:ascii="仿宋_GB2312" w:eastAsia="仿宋_GB2312"/>
          <w:color w:val="000000" w:themeColor="text1"/>
          <w:sz w:val="32"/>
          <w:szCs w:val="32"/>
          <w14:textFill>
            <w14:solidFill>
              <w14:schemeClr w14:val="tx1"/>
            </w14:solidFill>
          </w14:textFill>
        </w:rPr>
        <w:t>评标由招标人依法组建的评标委员会负责。</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人应当根据工程特点和需要组建评标委员会。国家、省重点工程建设项目可适当增加评标委员会人数，根据拟招标工程特点及所处设计阶段选择相应专业的工程设计、施工和经济专业人员担任评标委员会成员。</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依法必须进行招标的项目，其评标委员会由招标人的代表和有关技术、经济等方面的专家组成，成员人数为五人以上单数，其中技术、经济等方面的专家不得少于成员总数的三分之二。</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评标委员会的专家成员应当从评标专家库内相关专业的专家名单中以随机抽取方式确定。</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与投标人有利害关系的人不得进入相关项目的评标委员会，已经进入的应当更换。</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第十六条  </w:t>
      </w:r>
      <w:r>
        <w:rPr>
          <w:rFonts w:hint="eastAsia" w:ascii="仿宋_GB2312" w:eastAsia="仿宋_GB2312"/>
          <w:color w:val="000000" w:themeColor="text1"/>
          <w:sz w:val="32"/>
          <w:szCs w:val="32"/>
          <w14:textFill>
            <w14:solidFill>
              <w14:schemeClr w14:val="tx1"/>
            </w14:solidFill>
          </w14:textFill>
        </w:rPr>
        <w:t>工程总承包项目招标，招标人可采用资格预审或资格后审方式进行。</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人采用资格预审时，应按照合格制方式进行。在资格预审合格的投标申请人过多时，可以由招标人从中选择不少于7家资格预审合格的投标申请人。当合格投标申请人不足7家时，则所有合格投标申请人均可参加投标。评标委员会对投标人首先进行初步评审，初步评审合格的投标人进入详细评审。</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招标人采用资格后审时，评标委员会对投标人首先进行资格审查，所有资格审查合格的投标人进入初步评审，初步评审合格的投标人进入详细评审。</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第十七条  </w:t>
      </w:r>
      <w:r>
        <w:rPr>
          <w:rFonts w:hint="eastAsia" w:ascii="仿宋_GB2312" w:eastAsia="仿宋_GB2312"/>
          <w:color w:val="000000" w:themeColor="text1"/>
          <w:sz w:val="32"/>
          <w:szCs w:val="32"/>
          <w14:textFill>
            <w14:solidFill>
              <w14:schemeClr w14:val="tx1"/>
            </w14:solidFill>
          </w14:textFill>
        </w:rPr>
        <w:t>投标人有下列情形之一的，资格审查不合格：</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（一）投标人无有效营业执照，不具有独立法人资格；</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（二）投标人的资质等级不符合招标文件的要求；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（三）投标人的财务状况不符合招标文件的要求；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（四）投标人的类似项目业绩不符合招标文件的要求；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（五）投标人的信誉不符合招标文件的要求；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（六）投标人的工程总承包项目经理不符合招标文件的要求；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（七）投标人的设计项目负责人不符合招标文件的要求；</w:t>
      </w:r>
      <w:bookmarkStart w:id="0" w:name="OLE_LINK2"/>
      <w:bookmarkStart w:id="1" w:name="OLE_LINK3"/>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（八）投标人的施工项目负责人不符合招标文件的要求；</w:t>
      </w:r>
      <w:bookmarkEnd w:id="0"/>
      <w:bookmarkEnd w:id="1"/>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（九）投标人的安全生产负责人不符合招标文件的要求；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（十）投标人的项目管理机构及人员不符合招标文件的要求；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（十一）投标人存在其他不符合法律法规的要求。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第十八条  </w:t>
      </w:r>
      <w:r>
        <w:rPr>
          <w:rFonts w:hint="eastAsia" w:ascii="仿宋_GB2312" w:eastAsia="仿宋_GB2312"/>
          <w:color w:val="000000" w:themeColor="text1"/>
          <w:sz w:val="32"/>
          <w:szCs w:val="32"/>
          <w14:textFill>
            <w14:solidFill>
              <w14:schemeClr w14:val="tx1"/>
            </w14:solidFill>
          </w14:textFill>
        </w:rPr>
        <w:t>投标人有下列情形之一的，初步评审不合格：</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（一）投标人名称与营业执照、资质证书不一致；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（二）无单位盖章并无法定代表人或其委托代理人签字或盖章的；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（三）投标人的投标文件格式不符合招标文件的要求；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（四）联合体投标人没有提交联合体协议书，或没有明确联合体牵头人；</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（五）投标人递交两份或多份内容不同的投标文件，或在一份投标文件中对同一招标项目报有两个或多个报价，且未明确哪一个有效，按招标文件规定提交备选投标方案的除外；</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（六）投标人的投标报价不满足招标文件的要求；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（七）投标人的投标内容不满足招标文件的要求；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（八）投标人的工期不满足招标文件的要求；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（九）投标人的质量标准不满足招标文件的要求；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（十）投标人的投标有效期不满足招标文件的要求；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（十一）投标人的投标保证金不满足招标文件的要求；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（十二）投标文件附有招标人不能接受的条件；</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（十三）不符合招标文件中规定的其他实质性要求。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第十九条  </w:t>
      </w:r>
      <w:r>
        <w:rPr>
          <w:rFonts w:hint="eastAsia" w:ascii="仿宋_GB2312" w:eastAsia="仿宋_GB2312"/>
          <w:color w:val="000000" w:themeColor="text1"/>
          <w:sz w:val="32"/>
          <w:szCs w:val="32"/>
          <w14:textFill>
            <w14:solidFill>
              <w14:schemeClr w14:val="tx1"/>
            </w14:solidFill>
          </w14:textFill>
        </w:rPr>
        <w:t>评标委员会对资格审查合格、初步评审合格的投标人的投标文件进行详细评审，按照本办法规定的量化因素和分值进行打分，并计算出进入详细评审的每个投标人的综合评估得分。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第二十条  </w:t>
      </w:r>
      <w:r>
        <w:rPr>
          <w:rFonts w:hint="eastAsia" w:ascii="仿宋_GB2312" w:eastAsia="仿宋_GB2312"/>
          <w:color w:val="000000" w:themeColor="text1"/>
          <w:sz w:val="32"/>
          <w:szCs w:val="32"/>
          <w14:textFill>
            <w14:solidFill>
              <w14:schemeClr w14:val="tx1"/>
            </w14:solidFill>
          </w14:textFill>
        </w:rPr>
        <w:t>可行性研究完成后进行工程总承包招标的投标人的综合评估分值构成与评分标准。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分值构成</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投标人得分由投标报价、方案设计文件、项目管理组织方案、资信业绩四部分的得分组成，总分100分。各部分分值构成如下。</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（1）投标报价：50分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（2）方案设计文件：20分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（3）项目管理组织方案：25分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（4）资信业绩：5分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（二）评分标准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1.投标报价评标基准价计算方法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通过资格审查和初步评审后的投标人的报价为有效报价。有效报价去掉一个最高价、去掉一个最低价后的算术平均值为评标基准价；当有效报价为3家时，则3家有效报价的算术平均值为评标基准价。</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2.投标报价的偏差率计算公式</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偏差率=100%×（投标人报价-评标基准价）/评标基准价</w:t>
      </w:r>
    </w:p>
    <w:tbl>
      <w:tblPr>
        <w:tblStyle w:val="10"/>
        <w:tblpPr w:leftFromText="180" w:rightFromText="180" w:vertAnchor="text" w:horzAnchor="margin" w:tblpY="804"/>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271" w:type="dxa"/>
            <w:vAlign w:val="center"/>
          </w:tcPr>
          <w:p>
            <w:pPr>
              <w:snapToGrid w:val="0"/>
              <w:spacing w:line="340" w:lineRule="atLeast"/>
              <w:jc w:val="center"/>
            </w:pPr>
            <w:r>
              <w:rPr>
                <w:rFonts w:hint="eastAsia"/>
              </w:rPr>
              <w:t>评分项目</w:t>
            </w:r>
          </w:p>
        </w:tc>
        <w:tc>
          <w:tcPr>
            <w:tcW w:w="7513" w:type="dxa"/>
            <w:vAlign w:val="center"/>
          </w:tcPr>
          <w:p>
            <w:pPr>
              <w:snapToGrid w:val="0"/>
              <w:spacing w:line="340" w:lineRule="atLeast"/>
              <w:jc w:val="center"/>
            </w:pPr>
            <w:r>
              <w:rPr>
                <w:rFonts w:hint="eastAsi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71" w:type="dxa"/>
            <w:vAlign w:val="center"/>
          </w:tcPr>
          <w:p>
            <w:pPr>
              <w:snapToGrid w:val="0"/>
              <w:spacing w:line="340" w:lineRule="atLeast"/>
              <w:jc w:val="center"/>
            </w:pPr>
            <w:r>
              <w:rPr>
                <w:rFonts w:hint="eastAsia"/>
              </w:rPr>
              <w:t>投标</w:t>
            </w:r>
          </w:p>
          <w:p>
            <w:pPr>
              <w:snapToGrid w:val="0"/>
              <w:spacing w:line="340" w:lineRule="atLeast"/>
              <w:jc w:val="center"/>
            </w:pPr>
            <w:r>
              <w:rPr>
                <w:rFonts w:hint="eastAsia"/>
              </w:rPr>
              <w:t>报价</w:t>
            </w:r>
          </w:p>
        </w:tc>
        <w:tc>
          <w:tcPr>
            <w:tcW w:w="7513" w:type="dxa"/>
            <w:vAlign w:val="center"/>
          </w:tcPr>
          <w:p>
            <w:pPr>
              <w:snapToGrid w:val="0"/>
              <w:spacing w:line="340" w:lineRule="atLeast"/>
            </w:pPr>
            <w:r>
              <w:rPr>
                <w:rFonts w:hint="eastAsia"/>
              </w:rPr>
              <w:t>等于评标基准价的有效报价得满分；与评标基准价相比，其有效报价每增加1%，扣1分，每减少1%，扣0.5分。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84" w:type="dxa"/>
            <w:gridSpan w:val="2"/>
            <w:vAlign w:val="center"/>
          </w:tcPr>
          <w:p>
            <w:pPr>
              <w:snapToGrid w:val="0"/>
              <w:spacing w:line="340" w:lineRule="atLeast"/>
              <w:jc w:val="center"/>
            </w:pPr>
            <w:r>
              <w:rPr>
                <w:rFonts w:hint="eastAsia"/>
              </w:rPr>
              <w:t>注：偏离不足1%的，按照插入法计算得分，结果四舍五入保留2位小数。</w:t>
            </w:r>
          </w:p>
        </w:tc>
      </w:tr>
    </w:tbl>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投标报价评分标准（50分）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.方案设计文件评分标准（20分）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tbl>
      <w:tblPr>
        <w:tblStyle w:val="10"/>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134"/>
        <w:gridCol w:w="59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903" w:type="dxa"/>
            <w:vAlign w:val="center"/>
          </w:tcPr>
          <w:p>
            <w:pPr>
              <w:suppressLineNumbers/>
              <w:snapToGrid w:val="0"/>
              <w:spacing w:line="240" w:lineRule="atLeast"/>
              <w:jc w:val="center"/>
              <w:rPr>
                <w:rFonts w:ascii="黑体" w:hAnsi="黑体" w:eastAsia="黑体"/>
              </w:rPr>
            </w:pPr>
            <w:r>
              <w:rPr>
                <w:rFonts w:hint="eastAsia" w:ascii="黑体" w:hAnsi="黑体" w:eastAsia="黑体"/>
              </w:rPr>
              <w:t>评分</w:t>
            </w:r>
          </w:p>
          <w:p>
            <w:pPr>
              <w:suppressLineNumbers/>
              <w:snapToGrid w:val="0"/>
              <w:spacing w:line="240" w:lineRule="atLeast"/>
              <w:jc w:val="center"/>
              <w:rPr>
                <w:rFonts w:ascii="黑体" w:hAnsi="黑体" w:eastAsia="黑体"/>
              </w:rPr>
            </w:pPr>
            <w:r>
              <w:rPr>
                <w:rFonts w:hint="eastAsia" w:ascii="黑体" w:hAnsi="黑体" w:eastAsia="黑体"/>
              </w:rPr>
              <w:t>项目</w:t>
            </w:r>
          </w:p>
        </w:tc>
        <w:tc>
          <w:tcPr>
            <w:tcW w:w="1134" w:type="dxa"/>
            <w:vAlign w:val="center"/>
          </w:tcPr>
          <w:p>
            <w:pPr>
              <w:suppressLineNumbers/>
              <w:snapToGrid w:val="0"/>
              <w:spacing w:line="240" w:lineRule="atLeast"/>
              <w:jc w:val="center"/>
              <w:rPr>
                <w:rFonts w:ascii="黑体" w:hAnsi="黑体" w:eastAsia="黑体"/>
              </w:rPr>
            </w:pPr>
            <w:r>
              <w:rPr>
                <w:rFonts w:hint="eastAsia" w:ascii="黑体" w:hAnsi="黑体" w:eastAsia="黑体"/>
              </w:rPr>
              <w:t>评分</w:t>
            </w:r>
          </w:p>
          <w:p>
            <w:pPr>
              <w:suppressLineNumbers/>
              <w:snapToGrid w:val="0"/>
              <w:spacing w:line="240" w:lineRule="atLeast"/>
              <w:jc w:val="center"/>
              <w:rPr>
                <w:rFonts w:ascii="黑体" w:hAnsi="黑体" w:eastAsia="黑体"/>
              </w:rPr>
            </w:pPr>
            <w:r>
              <w:rPr>
                <w:rFonts w:hint="eastAsia" w:ascii="黑体" w:hAnsi="黑体" w:eastAsia="黑体"/>
              </w:rPr>
              <w:t>标准</w:t>
            </w:r>
          </w:p>
        </w:tc>
        <w:tc>
          <w:tcPr>
            <w:tcW w:w="5953" w:type="dxa"/>
            <w:vAlign w:val="center"/>
          </w:tcPr>
          <w:p>
            <w:pPr>
              <w:suppressLineNumbers/>
              <w:snapToGrid w:val="0"/>
              <w:spacing w:line="240" w:lineRule="atLeast"/>
              <w:jc w:val="center"/>
              <w:rPr>
                <w:rFonts w:ascii="黑体" w:hAnsi="黑体" w:eastAsia="黑体"/>
              </w:rPr>
            </w:pPr>
            <w:r>
              <w:rPr>
                <w:rFonts w:hint="eastAsia" w:ascii="黑体" w:hAnsi="黑体" w:eastAsia="黑体"/>
              </w:rPr>
              <w:t>得分</w:t>
            </w:r>
          </w:p>
        </w:tc>
        <w:tc>
          <w:tcPr>
            <w:tcW w:w="851" w:type="dxa"/>
            <w:vAlign w:val="center"/>
          </w:tcPr>
          <w:p>
            <w:pPr>
              <w:suppressLineNumbers/>
              <w:snapToGrid w:val="0"/>
              <w:spacing w:line="240" w:lineRule="atLeast"/>
              <w:jc w:val="center"/>
              <w:rPr>
                <w:rFonts w:ascii="黑体" w:hAnsi="黑体" w:eastAsia="黑体"/>
              </w:rPr>
            </w:pPr>
            <w:r>
              <w:rPr>
                <w:rFonts w:hint="eastAsia" w:ascii="黑体" w:hAnsi="黑体" w:eastAsia="黑体"/>
              </w:rPr>
              <w:t>得</w:t>
            </w:r>
            <w:r>
              <w:rPr>
                <w:rFonts w:ascii="黑体" w:hAnsi="黑体" w:eastAsia="黑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restart"/>
            <w:vAlign w:val="center"/>
          </w:tcPr>
          <w:p>
            <w:pPr>
              <w:suppressLineNumbers/>
              <w:snapToGrid w:val="0"/>
              <w:spacing w:line="360" w:lineRule="atLeast"/>
              <w:jc w:val="center"/>
              <w:rPr>
                <w:rFonts w:ascii="宋体" w:hAnsi="宋体"/>
              </w:rPr>
            </w:pPr>
            <w:r>
              <w:rPr>
                <w:rFonts w:hint="eastAsia" w:ascii="宋体" w:hAnsi="宋体"/>
              </w:rPr>
              <w:t>方案</w:t>
            </w:r>
          </w:p>
          <w:p>
            <w:pPr>
              <w:suppressLineNumbers/>
              <w:snapToGrid w:val="0"/>
              <w:spacing w:line="360" w:lineRule="atLeast"/>
              <w:jc w:val="center"/>
              <w:rPr>
                <w:rFonts w:ascii="宋体" w:hAnsi="宋体"/>
              </w:rPr>
            </w:pPr>
            <w:r>
              <w:rPr>
                <w:rFonts w:hint="eastAsia" w:ascii="宋体" w:hAnsi="宋体"/>
              </w:rPr>
              <w:t>设计</w:t>
            </w:r>
          </w:p>
          <w:p>
            <w:pPr>
              <w:suppressLineNumbers/>
              <w:snapToGrid w:val="0"/>
              <w:spacing w:line="360" w:lineRule="atLeast"/>
              <w:jc w:val="center"/>
              <w:rPr>
                <w:rFonts w:ascii="宋体" w:hAnsi="宋体"/>
              </w:rPr>
            </w:pPr>
            <w:r>
              <w:rPr>
                <w:rFonts w:hint="eastAsia" w:ascii="宋体" w:hAnsi="宋体"/>
              </w:rPr>
              <w:t>文件</w:t>
            </w:r>
          </w:p>
          <w:p>
            <w:pPr>
              <w:suppressLineNumbers/>
              <w:snapToGrid w:val="0"/>
              <w:spacing w:line="360" w:lineRule="atLeast"/>
              <w:jc w:val="center"/>
              <w:rPr>
                <w:rFonts w:ascii="宋体" w:hAnsi="宋体"/>
              </w:rPr>
            </w:pPr>
            <w:r>
              <w:rPr>
                <w:rFonts w:hint="eastAsia" w:ascii="宋体" w:hAnsi="宋体"/>
              </w:rPr>
              <w:t>（适用</w:t>
            </w:r>
          </w:p>
          <w:p>
            <w:pPr>
              <w:suppressLineNumbers/>
              <w:snapToGrid w:val="0"/>
              <w:spacing w:line="360" w:lineRule="atLeast"/>
              <w:jc w:val="center"/>
              <w:rPr>
                <w:rFonts w:ascii="宋体" w:hAnsi="宋体"/>
              </w:rPr>
            </w:pPr>
            <w:r>
              <w:rPr>
                <w:rFonts w:hint="eastAsia" w:ascii="宋体" w:hAnsi="宋体"/>
              </w:rPr>
              <w:t>于房</w:t>
            </w:r>
          </w:p>
          <w:p>
            <w:pPr>
              <w:suppressLineNumbers/>
              <w:snapToGrid w:val="0"/>
              <w:spacing w:line="360" w:lineRule="atLeast"/>
              <w:jc w:val="center"/>
              <w:rPr>
                <w:rFonts w:ascii="宋体" w:hAnsi="宋体"/>
              </w:rPr>
            </w:pPr>
            <w:r>
              <w:rPr>
                <w:rFonts w:hint="eastAsia" w:ascii="宋体" w:hAnsi="宋体"/>
              </w:rPr>
              <w:t>屋建</w:t>
            </w:r>
          </w:p>
          <w:p>
            <w:pPr>
              <w:suppressLineNumbers/>
              <w:snapToGrid w:val="0"/>
              <w:spacing w:line="360" w:lineRule="atLeast"/>
              <w:jc w:val="center"/>
              <w:rPr>
                <w:rFonts w:ascii="宋体" w:hAnsi="宋体"/>
              </w:rPr>
            </w:pPr>
            <w:r>
              <w:rPr>
                <w:rFonts w:hint="eastAsia" w:ascii="宋体" w:hAnsi="宋体"/>
              </w:rPr>
              <w:t>筑工</w:t>
            </w:r>
          </w:p>
          <w:p>
            <w:pPr>
              <w:suppressLineNumbers/>
              <w:snapToGrid w:val="0"/>
              <w:spacing w:line="360" w:lineRule="atLeast"/>
              <w:jc w:val="center"/>
              <w:rPr>
                <w:rFonts w:ascii="宋体" w:hAnsi="宋体"/>
              </w:rPr>
            </w:pPr>
            <w:r>
              <w:rPr>
                <w:rFonts w:hint="eastAsia" w:ascii="宋体" w:hAnsi="宋体"/>
              </w:rPr>
              <w:t>程）</w:t>
            </w:r>
          </w:p>
          <w:p>
            <w:pPr>
              <w:suppressLineNumbers/>
              <w:snapToGrid w:val="0"/>
              <w:spacing w:line="360" w:lineRule="atLeast"/>
              <w:jc w:val="center"/>
            </w:pPr>
            <w:r>
              <w:rPr>
                <w:rFonts w:hint="eastAsia" w:ascii="宋体" w:hAnsi="宋体"/>
              </w:rPr>
              <w:t>20分</w:t>
            </w: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设计说明</w:t>
            </w:r>
          </w:p>
          <w:p>
            <w:pPr>
              <w:suppressLineNumbers/>
              <w:snapToGrid w:val="0"/>
              <w:spacing w:line="360" w:lineRule="atLeast"/>
              <w:jc w:val="center"/>
            </w:pPr>
            <w:r>
              <w:rPr>
                <w:rFonts w:hint="eastAsia" w:ascii="宋体" w:hAnsi="宋体"/>
              </w:rPr>
              <w:t>（3分）</w:t>
            </w:r>
          </w:p>
        </w:tc>
        <w:tc>
          <w:tcPr>
            <w:tcW w:w="5953" w:type="dxa"/>
            <w:vAlign w:val="center"/>
          </w:tcPr>
          <w:p>
            <w:pPr>
              <w:suppressLineNumbers/>
              <w:snapToGrid w:val="0"/>
              <w:spacing w:line="360" w:lineRule="atLeast"/>
            </w:pPr>
            <w:r>
              <w:rPr>
                <w:rFonts w:hint="eastAsia" w:ascii="宋体" w:hAnsi="宋体"/>
              </w:rPr>
              <w:t>1．设计说明能对项目解读充分，理解深刻，分析准确，构思新颖。（1分）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pPr>
          </w:p>
        </w:tc>
        <w:tc>
          <w:tcPr>
            <w:tcW w:w="5953" w:type="dxa"/>
            <w:vAlign w:val="center"/>
          </w:tcPr>
          <w:p>
            <w:pPr>
              <w:suppressLineNumbers/>
              <w:snapToGrid w:val="0"/>
              <w:spacing w:line="360" w:lineRule="atLeast"/>
            </w:pPr>
            <w:r>
              <w:rPr>
                <w:rFonts w:hint="eastAsia" w:ascii="宋体" w:hAnsi="宋体"/>
              </w:rPr>
              <w:t>2．项目规划设计各项指标满足任务书及规划设计要点并科学、合理。（0.5分）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pPr>
          </w:p>
        </w:tc>
        <w:tc>
          <w:tcPr>
            <w:tcW w:w="5953" w:type="dxa"/>
            <w:vAlign w:val="center"/>
          </w:tcPr>
          <w:p>
            <w:pPr>
              <w:suppressLineNumbers/>
              <w:snapToGrid w:val="0"/>
              <w:spacing w:line="360" w:lineRule="atLeast"/>
              <w:rPr>
                <w:rFonts w:ascii="宋体" w:hAnsi="宋体"/>
              </w:rPr>
            </w:pPr>
            <w:r>
              <w:rPr>
                <w:rFonts w:hint="eastAsia" w:ascii="宋体" w:hAnsi="宋体"/>
              </w:rPr>
              <w:t>3．技术指标满足任务书要求，符合规划要求。（0.5分）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pPr>
          </w:p>
        </w:tc>
        <w:tc>
          <w:tcPr>
            <w:tcW w:w="5953" w:type="dxa"/>
            <w:vAlign w:val="center"/>
          </w:tcPr>
          <w:p>
            <w:pPr>
              <w:suppressLineNumbers/>
              <w:snapToGrid w:val="0"/>
              <w:spacing w:line="360" w:lineRule="atLeast"/>
              <w:rPr>
                <w:rFonts w:ascii="宋体" w:hAnsi="宋体"/>
              </w:rPr>
            </w:pPr>
            <w:r>
              <w:rPr>
                <w:rFonts w:hint="eastAsia" w:ascii="宋体" w:hAnsi="宋体"/>
              </w:rPr>
              <w:t>4．各专业设计说明。（0.5分）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pPr>
          </w:p>
        </w:tc>
        <w:tc>
          <w:tcPr>
            <w:tcW w:w="5953" w:type="dxa"/>
            <w:vAlign w:val="center"/>
          </w:tcPr>
          <w:p>
            <w:pPr>
              <w:suppressLineNumbers/>
              <w:snapToGrid w:val="0"/>
              <w:spacing w:line="360" w:lineRule="atLeast"/>
              <w:rPr>
                <w:rFonts w:ascii="宋体" w:hAnsi="宋体"/>
              </w:rPr>
            </w:pPr>
            <w:r>
              <w:rPr>
                <w:rFonts w:hint="eastAsia" w:ascii="宋体" w:hAnsi="宋体"/>
              </w:rPr>
              <w:t>5、投资估算与经济评价。（0.5分）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总平面</w:t>
            </w:r>
          </w:p>
          <w:p>
            <w:pPr>
              <w:suppressLineNumbers/>
              <w:snapToGrid w:val="0"/>
              <w:spacing w:line="360" w:lineRule="atLeast"/>
              <w:jc w:val="center"/>
              <w:rPr>
                <w:rFonts w:ascii="宋体" w:hAnsi="宋体"/>
              </w:rPr>
            </w:pPr>
            <w:r>
              <w:rPr>
                <w:rFonts w:hint="eastAsia" w:ascii="宋体" w:hAnsi="宋体"/>
              </w:rPr>
              <w:t>布局</w:t>
            </w:r>
          </w:p>
          <w:p>
            <w:pPr>
              <w:suppressLineNumbers/>
              <w:snapToGrid w:val="0"/>
              <w:spacing w:line="360" w:lineRule="atLeast"/>
              <w:jc w:val="center"/>
            </w:pPr>
            <w:r>
              <w:rPr>
                <w:rFonts w:hint="eastAsia" w:ascii="宋体" w:hAnsi="宋体"/>
              </w:rPr>
              <w:t>（5分）</w:t>
            </w:r>
          </w:p>
        </w:tc>
        <w:tc>
          <w:tcPr>
            <w:tcW w:w="5953" w:type="dxa"/>
            <w:vAlign w:val="center"/>
          </w:tcPr>
          <w:p>
            <w:pPr>
              <w:suppressLineNumbers/>
              <w:snapToGrid w:val="0"/>
              <w:spacing w:line="360" w:lineRule="atLeast"/>
              <w:rPr>
                <w:rFonts w:ascii="宋体" w:hAnsi="宋体"/>
              </w:rPr>
            </w:pPr>
            <w:r>
              <w:rPr>
                <w:rFonts w:hint="eastAsia" w:ascii="宋体" w:hAnsi="宋体"/>
              </w:rPr>
              <w:t>1．功能介绍、规划构思与布局新颖、合理。（1分）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2．是否合理利用土地;与周边环境协调。（1分）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3．是否满足交通流线及开口要求。（0.5分）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4．停车位布局合理可行。（0.5分）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5．是否满足消防要求。（1分）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6．是否满足日照要求。（0.5分）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7．总平面布局、竖向设计符合规划要求。（0.5分）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建筑功能</w:t>
            </w:r>
          </w:p>
          <w:p>
            <w:pPr>
              <w:suppressLineNumbers/>
              <w:snapToGrid w:val="0"/>
              <w:spacing w:line="360" w:lineRule="atLeast"/>
              <w:jc w:val="center"/>
              <w:rPr>
                <w:rFonts w:ascii="宋体" w:hAnsi="宋体"/>
              </w:rPr>
            </w:pPr>
            <w:r>
              <w:rPr>
                <w:rFonts w:hint="eastAsia" w:ascii="宋体" w:hAnsi="宋体"/>
              </w:rPr>
              <w:t>（4分）</w:t>
            </w:r>
          </w:p>
        </w:tc>
        <w:tc>
          <w:tcPr>
            <w:tcW w:w="5953" w:type="dxa"/>
            <w:vAlign w:val="center"/>
          </w:tcPr>
          <w:p>
            <w:pPr>
              <w:suppressLineNumbers/>
              <w:snapToGrid w:val="0"/>
              <w:spacing w:line="360" w:lineRule="atLeast"/>
              <w:rPr>
                <w:rFonts w:ascii="宋体" w:hAnsi="宋体"/>
              </w:rPr>
            </w:pPr>
            <w:r>
              <w:rPr>
                <w:rFonts w:hint="eastAsia" w:ascii="宋体" w:hAnsi="宋体"/>
              </w:rPr>
              <w:t>1</w:t>
            </w:r>
            <w:r>
              <w:rPr>
                <w:rFonts w:ascii="宋体" w:hAnsi="宋体"/>
              </w:rPr>
              <w:t>.</w:t>
            </w:r>
            <w:r>
              <w:rPr>
                <w:rFonts w:hint="eastAsia" w:ascii="宋体" w:hAnsi="宋体"/>
              </w:rPr>
              <w:t>项目功能要求是否满足设计任务书要求，且先进合理。（2分）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2.对项目的设计思路把握准确、设计合理。（2分）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建筑造型</w:t>
            </w:r>
          </w:p>
          <w:p>
            <w:pPr>
              <w:suppressLineNumbers/>
              <w:snapToGrid w:val="0"/>
              <w:spacing w:line="360" w:lineRule="atLeast"/>
              <w:jc w:val="center"/>
              <w:rPr>
                <w:rFonts w:ascii="宋体" w:hAnsi="宋体"/>
              </w:rPr>
            </w:pPr>
            <w:r>
              <w:rPr>
                <w:rFonts w:hint="eastAsia" w:ascii="宋体" w:hAnsi="宋体"/>
              </w:rPr>
              <w:t>（3分）</w:t>
            </w:r>
          </w:p>
        </w:tc>
        <w:tc>
          <w:tcPr>
            <w:tcW w:w="5953" w:type="dxa"/>
            <w:vAlign w:val="center"/>
          </w:tcPr>
          <w:p>
            <w:pPr>
              <w:suppressLineNumbers/>
              <w:snapToGrid w:val="0"/>
              <w:spacing w:line="360" w:lineRule="atLeast"/>
              <w:rPr>
                <w:rFonts w:ascii="宋体" w:hAnsi="宋体"/>
              </w:rPr>
            </w:pPr>
            <w:r>
              <w:rPr>
                <w:rFonts w:hint="eastAsia" w:ascii="宋体" w:hAnsi="宋体"/>
              </w:rPr>
              <w:t>1．建筑创意、空间处理是否合理。（1分）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2．立</w:t>
            </w:r>
            <w:r>
              <w:rPr>
                <w:rFonts w:hint="eastAsia" w:ascii="宋体" w:hAnsi="宋体"/>
                <w:spacing w:val="-6"/>
              </w:rPr>
              <w:t>面造型、比例尺度和谐美观，建筑的功能和形式统一。（1分）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3．功能与形式统一，与周围环境相协调，能够很好的体现建筑风格。（1分）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结构方案</w:t>
            </w:r>
          </w:p>
          <w:p>
            <w:pPr>
              <w:suppressLineNumbers/>
              <w:snapToGrid w:val="0"/>
              <w:spacing w:line="360" w:lineRule="atLeast"/>
              <w:jc w:val="center"/>
              <w:rPr>
                <w:rFonts w:ascii="宋体" w:hAnsi="宋体"/>
              </w:rPr>
            </w:pPr>
            <w:r>
              <w:rPr>
                <w:rFonts w:hint="eastAsia" w:ascii="宋体" w:hAnsi="宋体"/>
              </w:rPr>
              <w:t>（1分）</w:t>
            </w:r>
          </w:p>
        </w:tc>
        <w:tc>
          <w:tcPr>
            <w:tcW w:w="5953" w:type="dxa"/>
            <w:vAlign w:val="center"/>
          </w:tcPr>
          <w:p>
            <w:pPr>
              <w:suppressLineNumbers/>
              <w:snapToGrid w:val="0"/>
              <w:spacing w:line="360" w:lineRule="atLeast"/>
              <w:rPr>
                <w:rFonts w:ascii="宋体" w:hAnsi="宋体"/>
              </w:rPr>
            </w:pPr>
            <w:r>
              <w:rPr>
                <w:rFonts w:hint="eastAsia" w:ascii="宋体" w:hAnsi="宋体"/>
              </w:rPr>
              <w:t>1．结构方案的选型合理可行、满足设计任务书要求。（0.5分）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2．结构方案的设计依据符合规范及标准要求。（0.5分）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设备方案</w:t>
            </w:r>
          </w:p>
          <w:p>
            <w:pPr>
              <w:suppressLineNumbers/>
              <w:snapToGrid w:val="0"/>
              <w:spacing w:line="360" w:lineRule="atLeast"/>
              <w:jc w:val="center"/>
              <w:rPr>
                <w:rFonts w:ascii="宋体" w:hAnsi="宋体"/>
              </w:rPr>
            </w:pPr>
            <w:r>
              <w:rPr>
                <w:rFonts w:hint="eastAsia" w:ascii="宋体" w:hAnsi="宋体"/>
              </w:rPr>
              <w:t>（1分）</w:t>
            </w:r>
          </w:p>
        </w:tc>
        <w:tc>
          <w:tcPr>
            <w:tcW w:w="5953" w:type="dxa"/>
            <w:vAlign w:val="center"/>
          </w:tcPr>
          <w:p>
            <w:pPr>
              <w:suppressLineNumbers/>
              <w:snapToGrid w:val="0"/>
              <w:spacing w:line="360" w:lineRule="atLeast"/>
              <w:rPr>
                <w:rFonts w:ascii="宋体" w:hAnsi="宋体"/>
              </w:rPr>
            </w:pPr>
            <w:r>
              <w:rPr>
                <w:rFonts w:hint="eastAsia" w:ascii="宋体" w:hAnsi="宋体"/>
              </w:rPr>
              <w:t>1．设备方案的选型合理可行、满足设计任务书要求。（0.5分）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2．设备方案的设计依据符合规范及标准要求。（0.5分）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03" w:type="dxa"/>
            <w:vMerge w:val="continue"/>
            <w:vAlign w:val="center"/>
          </w:tcPr>
          <w:p>
            <w:pPr>
              <w:suppressLineNumbers/>
              <w:snapToGrid w:val="0"/>
              <w:spacing w:line="360" w:lineRule="atLeast"/>
              <w:jc w:val="center"/>
            </w:pPr>
          </w:p>
        </w:tc>
        <w:tc>
          <w:tcPr>
            <w:tcW w:w="1134" w:type="dxa"/>
            <w:vMerge w:val="restart"/>
            <w:vAlign w:val="center"/>
          </w:tcPr>
          <w:p>
            <w:pPr>
              <w:suppressLineNumbers/>
              <w:snapToGrid w:val="0"/>
              <w:spacing w:line="240" w:lineRule="atLeast"/>
              <w:jc w:val="center"/>
              <w:rPr>
                <w:rFonts w:ascii="宋体" w:hAnsi="宋体"/>
              </w:rPr>
            </w:pPr>
            <w:r>
              <w:rPr>
                <w:rFonts w:hint="eastAsia" w:ascii="宋体" w:hAnsi="宋体"/>
              </w:rPr>
              <w:t>绿色建筑</w:t>
            </w:r>
          </w:p>
          <w:p>
            <w:pPr>
              <w:suppressLineNumbers/>
              <w:snapToGrid w:val="0"/>
              <w:spacing w:line="240" w:lineRule="atLeast"/>
              <w:jc w:val="center"/>
              <w:rPr>
                <w:rFonts w:ascii="宋体" w:hAnsi="宋体"/>
              </w:rPr>
            </w:pPr>
            <w:r>
              <w:rPr>
                <w:rFonts w:hint="eastAsia" w:ascii="宋体" w:hAnsi="宋体"/>
              </w:rPr>
              <w:t>（含建筑节能）与装配式建筑设计）</w:t>
            </w:r>
          </w:p>
          <w:p>
            <w:pPr>
              <w:suppressLineNumbers/>
              <w:snapToGrid w:val="0"/>
              <w:spacing w:line="240" w:lineRule="atLeast"/>
              <w:jc w:val="center"/>
              <w:rPr>
                <w:rFonts w:ascii="宋体" w:hAnsi="宋体"/>
              </w:rPr>
            </w:pPr>
            <w:r>
              <w:rPr>
                <w:rFonts w:hint="eastAsia" w:ascii="宋体" w:hAnsi="宋体"/>
              </w:rPr>
              <w:t>（2分）</w:t>
            </w:r>
          </w:p>
        </w:tc>
        <w:tc>
          <w:tcPr>
            <w:tcW w:w="5953" w:type="dxa"/>
            <w:vAlign w:val="center"/>
          </w:tcPr>
          <w:p>
            <w:pPr>
              <w:suppressLineNumbers/>
              <w:snapToGrid w:val="0"/>
              <w:spacing w:line="360" w:lineRule="atLeast"/>
              <w:rPr>
                <w:rFonts w:ascii="宋体" w:hAnsi="宋体"/>
              </w:rPr>
            </w:pPr>
            <w:r>
              <w:rPr>
                <w:rFonts w:hint="eastAsia" w:ascii="宋体" w:hAnsi="宋体"/>
              </w:rPr>
              <w:t>1．采用科学合理的绿色建筑（建筑节能）措施。（0.5分）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2．提出切实可行的生态建筑理念与措施。（0.5分）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3</w:t>
            </w:r>
            <w:r>
              <w:rPr>
                <w:rFonts w:ascii="宋体" w:hAnsi="宋体"/>
              </w:rPr>
              <w:t>.</w:t>
            </w:r>
            <w:r>
              <w:rPr>
                <w:rFonts w:hint="eastAsia" w:ascii="宋体" w:hAnsi="宋体"/>
              </w:rPr>
              <w:t>工程采用装配式技术。（1分）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设计深度</w:t>
            </w:r>
          </w:p>
          <w:p>
            <w:pPr>
              <w:suppressLineNumbers/>
              <w:snapToGrid w:val="0"/>
              <w:spacing w:line="360" w:lineRule="atLeast"/>
              <w:jc w:val="center"/>
              <w:rPr>
                <w:rFonts w:ascii="宋体" w:hAnsi="宋体"/>
              </w:rPr>
            </w:pPr>
            <w:r>
              <w:rPr>
                <w:rFonts w:hint="eastAsia" w:ascii="宋体" w:hAnsi="宋体"/>
              </w:rPr>
              <w:t>（1分）</w:t>
            </w:r>
          </w:p>
        </w:tc>
        <w:tc>
          <w:tcPr>
            <w:tcW w:w="5953" w:type="dxa"/>
            <w:vAlign w:val="center"/>
          </w:tcPr>
          <w:p>
            <w:pPr>
              <w:suppressLineNumbers/>
              <w:snapToGrid w:val="0"/>
              <w:spacing w:line="360" w:lineRule="atLeast"/>
              <w:rPr>
                <w:rFonts w:ascii="宋体" w:hAnsi="宋体"/>
              </w:rPr>
            </w:pPr>
            <w:r>
              <w:rPr>
                <w:rFonts w:hint="eastAsia" w:ascii="宋体" w:hAnsi="宋体"/>
              </w:rPr>
              <w:t>1．是否符合设计任务书要求。（0.5分）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w:t>
            </w:r>
            <w:r>
              <w:rPr>
                <w:rFonts w:ascii="宋体" w:hAnsi="宋体"/>
              </w:rPr>
              <w:t>.</w:t>
            </w:r>
            <w:r>
              <w:rPr>
                <w:rFonts w:hint="eastAsia" w:ascii="宋体" w:hAnsi="宋体"/>
              </w:rPr>
              <w:t>是否符合国家规定的《建筑工程设计文件编制深度规定》。（0.5分）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restart"/>
            <w:vAlign w:val="center"/>
          </w:tcPr>
          <w:p>
            <w:pPr>
              <w:suppressLineNumbers/>
              <w:snapToGrid w:val="0"/>
              <w:spacing w:line="360" w:lineRule="atLeast"/>
              <w:jc w:val="center"/>
              <w:rPr>
                <w:rFonts w:ascii="宋体" w:hAnsi="宋体"/>
              </w:rPr>
            </w:pPr>
            <w:r>
              <w:rPr>
                <w:rFonts w:hint="eastAsia" w:ascii="宋体" w:hAnsi="宋体"/>
              </w:rPr>
              <w:t>方案</w:t>
            </w:r>
          </w:p>
          <w:p>
            <w:pPr>
              <w:suppressLineNumbers/>
              <w:snapToGrid w:val="0"/>
              <w:spacing w:line="360" w:lineRule="atLeast"/>
              <w:jc w:val="center"/>
              <w:rPr>
                <w:rFonts w:ascii="宋体" w:hAnsi="宋体"/>
              </w:rPr>
            </w:pPr>
            <w:r>
              <w:rPr>
                <w:rFonts w:hint="eastAsia" w:ascii="宋体" w:hAnsi="宋体"/>
              </w:rPr>
              <w:t>设计</w:t>
            </w:r>
          </w:p>
          <w:p>
            <w:pPr>
              <w:suppressLineNumbers/>
              <w:snapToGrid w:val="0"/>
              <w:spacing w:line="360" w:lineRule="atLeast"/>
              <w:jc w:val="center"/>
            </w:pPr>
            <w:r>
              <w:rPr>
                <w:rFonts w:hint="eastAsia" w:ascii="宋体" w:hAnsi="宋体"/>
              </w:rPr>
              <w:t>（适用于园林和景观等市政工程）20分</w:t>
            </w: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设计说明</w:t>
            </w:r>
          </w:p>
          <w:p>
            <w:pPr>
              <w:suppressLineNumbers/>
              <w:snapToGrid w:val="0"/>
              <w:spacing w:line="360" w:lineRule="atLeast"/>
              <w:jc w:val="center"/>
              <w:rPr>
                <w:rFonts w:ascii="宋体" w:hAnsi="宋体"/>
              </w:rPr>
            </w:pPr>
            <w:r>
              <w:rPr>
                <w:rFonts w:hint="eastAsia" w:ascii="宋体" w:hAnsi="宋体"/>
              </w:rPr>
              <w:t>（5分）</w:t>
            </w:r>
          </w:p>
        </w:tc>
        <w:tc>
          <w:tcPr>
            <w:tcW w:w="5953" w:type="dxa"/>
            <w:vAlign w:val="center"/>
          </w:tcPr>
          <w:p>
            <w:pPr>
              <w:suppressLineNumbers/>
              <w:snapToGrid w:val="0"/>
              <w:spacing w:line="240" w:lineRule="atLeast"/>
              <w:rPr>
                <w:rFonts w:ascii="宋体" w:hAnsi="宋体"/>
              </w:rPr>
            </w:pPr>
            <w:r>
              <w:rPr>
                <w:rFonts w:hint="eastAsia" w:ascii="宋体" w:hAnsi="宋体"/>
              </w:rPr>
              <w:t>1．设计说明能对项目解读充分，理解深刻，分析准确，构思新颖。（2分）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240" w:lineRule="atLeast"/>
              <w:rPr>
                <w:rFonts w:ascii="宋体" w:hAnsi="宋体"/>
              </w:rPr>
            </w:pPr>
            <w:r>
              <w:rPr>
                <w:rFonts w:hint="eastAsia" w:ascii="宋体" w:hAnsi="宋体"/>
              </w:rPr>
              <w:t>2．项目规划设计各项指标满足任务书及规划设计要点并科学、合理。（1分）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3．技术指标满足任务书要求，符合规划要求。（1分）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4．设计理念、各专业（附属）工程设计说明。（1分）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技术方案</w:t>
            </w:r>
          </w:p>
          <w:p>
            <w:pPr>
              <w:suppressLineNumbers/>
              <w:snapToGrid w:val="0"/>
              <w:spacing w:line="360" w:lineRule="atLeast"/>
              <w:jc w:val="center"/>
              <w:rPr>
                <w:rFonts w:ascii="宋体" w:hAnsi="宋体"/>
              </w:rPr>
            </w:pPr>
            <w:r>
              <w:rPr>
                <w:rFonts w:hint="eastAsia" w:ascii="宋体" w:hAnsi="宋体"/>
              </w:rPr>
              <w:t>（8分）</w:t>
            </w:r>
          </w:p>
        </w:tc>
        <w:tc>
          <w:tcPr>
            <w:tcW w:w="5953" w:type="dxa"/>
            <w:vAlign w:val="center"/>
          </w:tcPr>
          <w:p>
            <w:pPr>
              <w:suppressLineNumbers/>
              <w:snapToGrid w:val="0"/>
              <w:spacing w:line="360" w:lineRule="atLeast"/>
              <w:rPr>
                <w:rFonts w:ascii="宋体" w:hAnsi="宋体"/>
              </w:rPr>
            </w:pPr>
            <w:r>
              <w:rPr>
                <w:rFonts w:hint="eastAsia" w:ascii="宋体" w:hAnsi="宋体"/>
              </w:rPr>
              <w:t>1．总体布置方案、节点方案。（2分）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2．专业（附属）工程设计方案。（2分）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3．设计依据的技术标准、采用的设计指标等。（2分）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4．环境影响分析。（2分）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设计深度</w:t>
            </w:r>
          </w:p>
          <w:p>
            <w:pPr>
              <w:suppressLineNumbers/>
              <w:snapToGrid w:val="0"/>
              <w:spacing w:line="360" w:lineRule="atLeast"/>
              <w:jc w:val="center"/>
              <w:rPr>
                <w:rFonts w:ascii="宋体" w:hAnsi="宋体"/>
              </w:rPr>
            </w:pPr>
            <w:r>
              <w:rPr>
                <w:rFonts w:hint="eastAsia" w:ascii="宋体" w:hAnsi="宋体"/>
              </w:rPr>
              <w:t>（3分）</w:t>
            </w:r>
          </w:p>
        </w:tc>
        <w:tc>
          <w:tcPr>
            <w:tcW w:w="5953" w:type="dxa"/>
            <w:vAlign w:val="center"/>
          </w:tcPr>
          <w:p>
            <w:pPr>
              <w:suppressLineNumbers/>
              <w:snapToGrid w:val="0"/>
              <w:spacing w:line="360" w:lineRule="atLeast"/>
              <w:rPr>
                <w:rFonts w:ascii="宋体" w:hAnsi="宋体"/>
              </w:rPr>
            </w:pPr>
            <w:r>
              <w:rPr>
                <w:rFonts w:hint="eastAsia" w:ascii="宋体" w:hAnsi="宋体"/>
              </w:rPr>
              <w:t>1．是否符合设计任务书要求。（2分）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2．是否符合国家规定的《市政公用工程设计文件编制深度规定》。（1分）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绿色设计与新技术应用</w:t>
            </w:r>
          </w:p>
          <w:p>
            <w:pPr>
              <w:suppressLineNumbers/>
              <w:snapToGrid w:val="0"/>
              <w:spacing w:line="360" w:lineRule="atLeast"/>
              <w:jc w:val="center"/>
              <w:rPr>
                <w:rFonts w:ascii="宋体" w:hAnsi="宋体"/>
              </w:rPr>
            </w:pPr>
            <w:r>
              <w:rPr>
                <w:rFonts w:hint="eastAsia" w:ascii="宋体" w:hAnsi="宋体"/>
              </w:rPr>
              <w:t>（2分）</w:t>
            </w:r>
          </w:p>
        </w:tc>
        <w:tc>
          <w:tcPr>
            <w:tcW w:w="5953" w:type="dxa"/>
            <w:vAlign w:val="center"/>
          </w:tcPr>
          <w:p>
            <w:pPr>
              <w:suppressLineNumbers/>
              <w:snapToGrid w:val="0"/>
              <w:spacing w:line="360" w:lineRule="atLeast"/>
              <w:rPr>
                <w:rFonts w:ascii="宋体" w:hAnsi="宋体"/>
              </w:rPr>
            </w:pPr>
            <w:r>
              <w:rPr>
                <w:rFonts w:hint="eastAsia" w:ascii="宋体" w:hAnsi="宋体"/>
              </w:rPr>
              <w:t>1．提出切实可行的生态理念与措施。（0.5分）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2．是否符合国家及地方的有关绿色标准。（0.5分）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3．采用的新技术、新材料、新工艺等。（1分）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restart"/>
            <w:vAlign w:val="center"/>
          </w:tcPr>
          <w:p>
            <w:pPr>
              <w:suppressLineNumbers/>
              <w:snapToGrid w:val="0"/>
              <w:spacing w:line="360" w:lineRule="atLeast"/>
              <w:jc w:val="center"/>
              <w:rPr>
                <w:rFonts w:ascii="宋体" w:hAnsi="宋体"/>
              </w:rPr>
            </w:pPr>
            <w:r>
              <w:rPr>
                <w:rFonts w:hint="eastAsia" w:ascii="宋体" w:hAnsi="宋体"/>
              </w:rPr>
              <w:t>经济分析</w:t>
            </w:r>
          </w:p>
          <w:p>
            <w:pPr>
              <w:suppressLineNumbers/>
              <w:snapToGrid w:val="0"/>
              <w:spacing w:line="360" w:lineRule="atLeast"/>
              <w:jc w:val="center"/>
              <w:rPr>
                <w:rFonts w:ascii="宋体" w:hAnsi="宋体"/>
              </w:rPr>
            </w:pPr>
            <w:r>
              <w:rPr>
                <w:rFonts w:hint="eastAsia" w:ascii="宋体" w:hAnsi="宋体"/>
              </w:rPr>
              <w:t>（2分）</w:t>
            </w:r>
          </w:p>
        </w:tc>
        <w:tc>
          <w:tcPr>
            <w:tcW w:w="5953" w:type="dxa"/>
            <w:vAlign w:val="center"/>
          </w:tcPr>
          <w:p>
            <w:pPr>
              <w:suppressLineNumbers/>
              <w:snapToGrid w:val="0"/>
              <w:spacing w:line="360" w:lineRule="atLeast"/>
              <w:rPr>
                <w:rFonts w:ascii="宋体" w:hAnsi="宋体"/>
              </w:rPr>
            </w:pPr>
            <w:r>
              <w:rPr>
                <w:rFonts w:hint="eastAsia" w:ascii="宋体" w:hAnsi="宋体"/>
              </w:rPr>
              <w:t>1．投资估算文件编制内容完整、合理。（0.5分）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2</w:t>
            </w:r>
            <w:r>
              <w:rPr>
                <w:rFonts w:ascii="宋体" w:hAnsi="宋体"/>
              </w:rPr>
              <w:t>.</w:t>
            </w:r>
            <w:r>
              <w:rPr>
                <w:rFonts w:hint="eastAsia" w:ascii="宋体" w:hAnsi="宋体"/>
              </w:rPr>
              <w:t>是否符合设计说明书要求。（0.5分）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3．是否符合国家法律法规及规范标准的规定。（0.5分）</w:t>
            </w:r>
          </w:p>
        </w:tc>
        <w:tc>
          <w:tcPr>
            <w:tcW w:w="851" w:type="dxa"/>
            <w:vAlign w:val="center"/>
          </w:tcPr>
          <w:p>
            <w:pPr>
              <w:suppressLineNumbers/>
              <w:snapToGrid w:val="0"/>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 w:type="dxa"/>
            <w:vMerge w:val="continue"/>
            <w:vAlign w:val="center"/>
          </w:tcPr>
          <w:p>
            <w:pPr>
              <w:suppressLineNumbers/>
              <w:snapToGrid w:val="0"/>
              <w:spacing w:line="360" w:lineRule="atLeast"/>
              <w:jc w:val="center"/>
              <w:rPr>
                <w:rFonts w:ascii="宋体" w:hAnsi="宋体"/>
              </w:rPr>
            </w:pPr>
          </w:p>
        </w:tc>
        <w:tc>
          <w:tcPr>
            <w:tcW w:w="1134" w:type="dxa"/>
            <w:vMerge w:val="continue"/>
            <w:vAlign w:val="center"/>
          </w:tcPr>
          <w:p>
            <w:pPr>
              <w:suppressLineNumbers/>
              <w:snapToGrid w:val="0"/>
              <w:spacing w:line="360" w:lineRule="atLeast"/>
              <w:jc w:val="center"/>
              <w:rPr>
                <w:rFonts w:ascii="宋体" w:hAnsi="宋体"/>
              </w:rPr>
            </w:pPr>
          </w:p>
        </w:tc>
        <w:tc>
          <w:tcPr>
            <w:tcW w:w="5953" w:type="dxa"/>
            <w:vAlign w:val="center"/>
          </w:tcPr>
          <w:p>
            <w:pPr>
              <w:suppressLineNumbers/>
              <w:snapToGrid w:val="0"/>
              <w:spacing w:line="360" w:lineRule="atLeast"/>
              <w:rPr>
                <w:rFonts w:ascii="宋体" w:hAnsi="宋体"/>
              </w:rPr>
            </w:pPr>
            <w:r>
              <w:rPr>
                <w:rFonts w:hint="eastAsia" w:ascii="宋体" w:hAnsi="宋体"/>
              </w:rPr>
              <w:t>4</w:t>
            </w:r>
            <w:r>
              <w:rPr>
                <w:rFonts w:ascii="宋体" w:hAnsi="宋体"/>
              </w:rPr>
              <w:t>.</w:t>
            </w:r>
            <w:r>
              <w:rPr>
                <w:rFonts w:hint="eastAsia" w:ascii="宋体" w:hAnsi="宋体"/>
              </w:rPr>
              <w:t>是否符合地方政府有关的政策文件规定。（0.5分）</w:t>
            </w:r>
          </w:p>
        </w:tc>
        <w:tc>
          <w:tcPr>
            <w:tcW w:w="851" w:type="dxa"/>
            <w:vAlign w:val="center"/>
          </w:tcPr>
          <w:p>
            <w:pPr>
              <w:suppressLineNumbers/>
              <w:snapToGrid w:val="0"/>
              <w:spacing w:line="360" w:lineRule="atLeast"/>
              <w:jc w:val="center"/>
            </w:pPr>
          </w:p>
        </w:tc>
      </w:tr>
    </w:tbl>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.项目管理组织方案评分标准（25分）</w:t>
      </w:r>
    </w:p>
    <w:tbl>
      <w:tblPr>
        <w:tblStyle w:val="9"/>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532"/>
        <w:gridCol w:w="6218"/>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82" w:type="dxa"/>
            <w:gridSpan w:val="2"/>
            <w:tcBorders>
              <w:top w:val="single" w:color="000000" w:sz="4" w:space="0"/>
              <w:left w:val="single" w:color="000000" w:sz="4" w:space="0"/>
              <w:right w:val="single" w:color="auto" w:sz="4" w:space="0"/>
            </w:tcBorders>
            <w:vAlign w:val="center"/>
          </w:tcPr>
          <w:p>
            <w:pPr>
              <w:snapToGrid w:val="0"/>
              <w:spacing w:line="240" w:lineRule="atLeast"/>
              <w:jc w:val="center"/>
              <w:rPr>
                <w:rFonts w:ascii="黑体" w:hAnsi="黑体" w:eastAsia="黑体"/>
              </w:rPr>
            </w:pPr>
            <w:r>
              <w:rPr>
                <w:rFonts w:hint="eastAsia" w:ascii="黑体" w:hAnsi="黑体" w:eastAsia="黑体"/>
              </w:rPr>
              <w:t>评分项目</w:t>
            </w:r>
          </w:p>
        </w:tc>
        <w:tc>
          <w:tcPr>
            <w:tcW w:w="62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rPr>
            </w:pPr>
            <w:r>
              <w:rPr>
                <w:rFonts w:hint="eastAsia" w:ascii="黑体" w:hAnsi="黑体" w:eastAsia="黑体"/>
              </w:rPr>
              <w:t>评分标准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750" w:type="dxa"/>
            <w:vMerge w:val="restart"/>
            <w:tcBorders>
              <w:top w:val="single" w:color="000000" w:sz="4" w:space="0"/>
              <w:left w:val="single" w:color="000000" w:sz="4" w:space="0"/>
              <w:right w:val="single" w:color="auto" w:sz="4" w:space="0"/>
            </w:tcBorders>
            <w:vAlign w:val="center"/>
          </w:tcPr>
          <w:p>
            <w:pPr>
              <w:snapToGrid w:val="0"/>
              <w:spacing w:line="240" w:lineRule="atLeast"/>
              <w:jc w:val="center"/>
              <w:rPr>
                <w:rFonts w:ascii="宋体" w:hAnsi="宋体"/>
              </w:rPr>
            </w:pPr>
            <w:r>
              <w:rPr>
                <w:rFonts w:hint="eastAsia" w:ascii="宋体" w:hAnsi="宋体"/>
              </w:rPr>
              <w:t>项目管理组织方案</w:t>
            </w:r>
          </w:p>
          <w:p>
            <w:pPr>
              <w:snapToGrid w:val="0"/>
              <w:spacing w:line="240" w:lineRule="atLeast"/>
              <w:jc w:val="center"/>
              <w:rPr>
                <w:rFonts w:ascii="宋体" w:hAnsi="宋体"/>
              </w:rPr>
            </w:pPr>
            <w:r>
              <w:rPr>
                <w:rFonts w:hint="eastAsia" w:ascii="宋体" w:hAnsi="宋体"/>
              </w:rPr>
              <w:t>25分</w:t>
            </w:r>
          </w:p>
        </w:tc>
        <w:tc>
          <w:tcPr>
            <w:tcW w:w="153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r>
              <w:rPr>
                <w:rFonts w:hint="eastAsia" w:ascii="宋体" w:hAnsi="宋体"/>
              </w:rPr>
              <w:t>总体概述</w:t>
            </w:r>
          </w:p>
          <w:p>
            <w:pPr>
              <w:snapToGrid w:val="0"/>
              <w:spacing w:line="240" w:lineRule="atLeast"/>
              <w:jc w:val="center"/>
              <w:rPr>
                <w:rFonts w:ascii="宋体" w:hAnsi="宋体"/>
              </w:rPr>
            </w:pPr>
            <w:r>
              <w:rPr>
                <w:rFonts w:hint="eastAsia" w:ascii="宋体" w:hAnsi="宋体"/>
              </w:rPr>
              <w:t>（10分）</w:t>
            </w:r>
          </w:p>
        </w:tc>
        <w:tc>
          <w:tcPr>
            <w:tcW w:w="62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rPr>
            </w:pPr>
            <w:r>
              <w:rPr>
                <w:rFonts w:hint="eastAsia" w:ascii="宋体" w:hAnsi="宋体"/>
              </w:rPr>
              <w:t>对工程总承包的总体设想、组织形式、各项管理目标及控制措施、设计与施工的协调措施等内容进行评分。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50" w:type="dxa"/>
            <w:vMerge w:val="continue"/>
            <w:tcBorders>
              <w:left w:val="single" w:color="000000" w:sz="4" w:space="0"/>
              <w:right w:val="single" w:color="auto" w:sz="4" w:space="0"/>
            </w:tcBorders>
            <w:vAlign w:val="center"/>
          </w:tcPr>
          <w:p>
            <w:pPr>
              <w:snapToGrid w:val="0"/>
              <w:spacing w:line="240" w:lineRule="atLeast"/>
              <w:jc w:val="center"/>
              <w:rPr>
                <w:rFonts w:ascii="宋体" w:hAnsi="宋体"/>
              </w:rPr>
            </w:pPr>
          </w:p>
        </w:tc>
        <w:tc>
          <w:tcPr>
            <w:tcW w:w="153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r>
              <w:rPr>
                <w:rFonts w:hint="eastAsia" w:ascii="宋体" w:hAnsi="宋体"/>
              </w:rPr>
              <w:t>设计管理方案</w:t>
            </w:r>
          </w:p>
          <w:p>
            <w:pPr>
              <w:snapToGrid w:val="0"/>
              <w:spacing w:line="240" w:lineRule="atLeast"/>
              <w:jc w:val="center"/>
              <w:rPr>
                <w:rFonts w:ascii="宋体" w:hAnsi="宋体"/>
              </w:rPr>
            </w:pPr>
            <w:r>
              <w:rPr>
                <w:rFonts w:hint="eastAsia" w:ascii="宋体" w:hAnsi="宋体"/>
              </w:rPr>
              <w:t>（5分）</w:t>
            </w:r>
          </w:p>
        </w:tc>
        <w:tc>
          <w:tcPr>
            <w:tcW w:w="62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rPr>
            </w:pPr>
            <w:r>
              <w:rPr>
                <w:rFonts w:hint="eastAsia" w:ascii="宋体" w:hAnsi="宋体"/>
              </w:rPr>
              <w:t>对设计执行计划、设计组织实施方案、设计控制措施、设计收尾等内容进行评分。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750" w:type="dxa"/>
            <w:vMerge w:val="continue"/>
            <w:tcBorders>
              <w:left w:val="single" w:color="000000" w:sz="4" w:space="0"/>
              <w:right w:val="single" w:color="auto" w:sz="4" w:space="0"/>
            </w:tcBorders>
            <w:vAlign w:val="center"/>
          </w:tcPr>
          <w:p>
            <w:pPr>
              <w:snapToGrid w:val="0"/>
              <w:spacing w:line="240" w:lineRule="atLeast"/>
              <w:jc w:val="center"/>
              <w:rPr>
                <w:rFonts w:ascii="宋体" w:hAnsi="宋体"/>
              </w:rPr>
            </w:pPr>
          </w:p>
        </w:tc>
        <w:tc>
          <w:tcPr>
            <w:tcW w:w="153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r>
              <w:rPr>
                <w:rFonts w:hint="eastAsia" w:ascii="宋体" w:hAnsi="宋体"/>
              </w:rPr>
              <w:t>施工管理方案</w:t>
            </w:r>
          </w:p>
          <w:p>
            <w:pPr>
              <w:snapToGrid w:val="0"/>
              <w:spacing w:line="240" w:lineRule="atLeast"/>
              <w:jc w:val="center"/>
              <w:rPr>
                <w:rFonts w:ascii="宋体" w:hAnsi="宋体"/>
              </w:rPr>
            </w:pPr>
            <w:r>
              <w:rPr>
                <w:rFonts w:hint="eastAsia" w:ascii="宋体" w:hAnsi="宋体"/>
              </w:rPr>
              <w:t>（5分）</w:t>
            </w:r>
          </w:p>
        </w:tc>
        <w:tc>
          <w:tcPr>
            <w:tcW w:w="62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rPr>
            </w:pPr>
            <w:r>
              <w:rPr>
                <w:rFonts w:hint="eastAsia" w:ascii="宋体" w:hAnsi="宋体"/>
              </w:rPr>
              <w:t>对施工执行计划、施工进度控制、施工费用控制、施工质量控制、施工安全管理、施工现场管理、施工变更管理等内容进行评分。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750" w:type="dxa"/>
            <w:vMerge w:val="continue"/>
            <w:tcBorders>
              <w:left w:val="single" w:color="000000" w:sz="4" w:space="0"/>
              <w:right w:val="single" w:color="auto" w:sz="4" w:space="0"/>
            </w:tcBorders>
            <w:vAlign w:val="center"/>
          </w:tcPr>
          <w:p>
            <w:pPr>
              <w:snapToGrid w:val="0"/>
              <w:spacing w:line="240" w:lineRule="atLeast"/>
              <w:jc w:val="center"/>
              <w:rPr>
                <w:rFonts w:ascii="宋体" w:hAnsi="宋体"/>
              </w:rPr>
            </w:pPr>
          </w:p>
        </w:tc>
        <w:tc>
          <w:tcPr>
            <w:tcW w:w="153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r>
              <w:rPr>
                <w:rFonts w:hint="eastAsia" w:ascii="宋体" w:hAnsi="宋体"/>
              </w:rPr>
              <w:t>采购管理方案</w:t>
            </w:r>
          </w:p>
          <w:p>
            <w:pPr>
              <w:snapToGrid w:val="0"/>
              <w:spacing w:line="240" w:lineRule="atLeast"/>
              <w:jc w:val="center"/>
              <w:rPr>
                <w:rFonts w:ascii="宋体" w:hAnsi="宋体"/>
              </w:rPr>
            </w:pPr>
            <w:r>
              <w:rPr>
                <w:rFonts w:hint="eastAsia" w:ascii="宋体" w:hAnsi="宋体"/>
              </w:rPr>
              <w:t>（5分）</w:t>
            </w:r>
          </w:p>
        </w:tc>
        <w:tc>
          <w:tcPr>
            <w:tcW w:w="62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rPr>
            </w:pPr>
            <w:r>
              <w:rPr>
                <w:rFonts w:hint="eastAsia" w:ascii="宋体" w:hAnsi="宋体"/>
              </w:rPr>
              <w:t>对采购工作程序、采购执行计划、采买、催交与检验、运输与交付、采购变更管理、仓储管理等内容进行评分。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p>
        </w:tc>
      </w:tr>
    </w:tbl>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.资信业绩评分标准（5分）</w:t>
      </w:r>
    </w:p>
    <w:tbl>
      <w:tblPr>
        <w:tblStyle w:val="9"/>
        <w:tblW w:w="9270" w:type="dxa"/>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5"/>
        <w:gridCol w:w="7286"/>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rPr>
            </w:pPr>
            <w:r>
              <w:rPr>
                <w:rFonts w:hint="eastAsia" w:ascii="黑体" w:hAnsi="黑体" w:eastAsia="黑体"/>
              </w:rPr>
              <w:t>项目</w:t>
            </w:r>
          </w:p>
        </w:tc>
        <w:tc>
          <w:tcPr>
            <w:tcW w:w="72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rPr>
            </w:pPr>
            <w:r>
              <w:rPr>
                <w:rFonts w:hint="eastAsia" w:ascii="黑体" w:hAnsi="黑体" w:eastAsia="黑体"/>
              </w:rPr>
              <w:t>评分标准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r>
              <w:rPr>
                <w:rFonts w:hint="eastAsia" w:ascii="宋体" w:hAnsi="宋体"/>
              </w:rPr>
              <w:t>投标人类似工程业绩</w:t>
            </w:r>
          </w:p>
          <w:p>
            <w:pPr>
              <w:snapToGrid w:val="0"/>
              <w:spacing w:line="240" w:lineRule="atLeast"/>
              <w:jc w:val="center"/>
              <w:rPr>
                <w:rFonts w:ascii="宋体" w:hAnsi="宋体"/>
              </w:rPr>
            </w:pPr>
            <w:r>
              <w:rPr>
                <w:rFonts w:hint="eastAsia" w:ascii="宋体" w:hAnsi="宋体"/>
              </w:rPr>
              <w:t>（2分）</w:t>
            </w:r>
          </w:p>
        </w:tc>
        <w:tc>
          <w:tcPr>
            <w:tcW w:w="72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ascii="宋体" w:hAnsi="宋体"/>
              </w:rPr>
            </w:pPr>
            <w:r>
              <w:rPr>
                <w:rFonts w:hint="eastAsia" w:ascii="宋体" w:hAnsi="宋体"/>
              </w:rPr>
              <w:t>投标人承担过类似及以上的工程总承包业绩一个计1分，累计不超过2分（类似工程标准在招标文件中应当明确），如仅有类似设计业绩乘0.8，如仅有类似施工业绩乘0.7。</w:t>
            </w:r>
          </w:p>
          <w:p>
            <w:pPr>
              <w:snapToGrid w:val="0"/>
              <w:spacing w:line="240" w:lineRule="atLeast"/>
              <w:jc w:val="left"/>
              <w:rPr>
                <w:rFonts w:ascii="宋体" w:hAnsi="宋体"/>
              </w:rPr>
            </w:pPr>
            <w:r>
              <w:rPr>
                <w:rFonts w:hint="eastAsia" w:ascii="宋体" w:hAnsi="宋体"/>
              </w:rPr>
              <w:t>注：联合体承担过的工程总承包业绩分值计算方法为：牵头方按该项分值的100%计取、参与方按该项分值的60%计取。</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r>
              <w:rPr>
                <w:rFonts w:hint="eastAsia" w:ascii="宋体" w:hAnsi="宋体"/>
              </w:rPr>
              <w:t>投标人工程总承包项目经理类似工程业绩</w:t>
            </w:r>
          </w:p>
          <w:p>
            <w:pPr>
              <w:snapToGrid w:val="0"/>
              <w:spacing w:line="240" w:lineRule="atLeast"/>
              <w:jc w:val="center"/>
              <w:rPr>
                <w:rFonts w:ascii="宋体" w:hAnsi="宋体"/>
              </w:rPr>
            </w:pPr>
            <w:r>
              <w:rPr>
                <w:rFonts w:hint="eastAsia" w:ascii="宋体" w:hAnsi="宋体"/>
              </w:rPr>
              <w:t>（3分）</w:t>
            </w:r>
          </w:p>
        </w:tc>
        <w:tc>
          <w:tcPr>
            <w:tcW w:w="72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ascii="宋体" w:hAnsi="宋体"/>
              </w:rPr>
            </w:pPr>
            <w:r>
              <w:rPr>
                <w:rFonts w:hint="eastAsia" w:ascii="宋体" w:hAnsi="宋体"/>
              </w:rPr>
              <w:t>投标人工程总承包项目经理承担过类似及以上的工程总承包业绩一个计1分，累计不超过3分（类似工程标准在招标文件中应当明确），如仅有类似设计业绩乘0.8，如仅有类似施工业绩乘0.7。</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rPr>
            </w:pPr>
            <w:r>
              <w:rPr>
                <w:rFonts w:hint="eastAsia" w:ascii="宋体" w:hAnsi="宋体"/>
              </w:rPr>
              <w:t>以上业绩应以合同及中标通知书原件为准，否则不得分。各项均可累计计分，计满为止。</w:t>
            </w:r>
          </w:p>
        </w:tc>
      </w:tr>
    </w:tbl>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（三）评委评审时按优、良、一般、差四个档次评审打分，各项分值分配按如下标准：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优：得分为该项分值的90%～100%；</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良：得分为该项分值的70%～89%；</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一般：得分为该项分值的60%～69%；</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差：得分为该项分值的40%～59%；</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如没有该项内容则不得分。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在统计投标人得分时，应去掉一个最高分和一个最低分，以算术平均值计入投标人总得分。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第二十一条  </w:t>
      </w:r>
      <w:r>
        <w:rPr>
          <w:rFonts w:hint="eastAsia" w:ascii="仿宋_GB2312" w:eastAsia="仿宋_GB2312"/>
          <w:color w:val="000000" w:themeColor="text1"/>
          <w:sz w:val="32"/>
          <w:szCs w:val="32"/>
          <w14:textFill>
            <w14:solidFill>
              <w14:schemeClr w14:val="tx1"/>
            </w14:solidFill>
          </w14:textFill>
        </w:rPr>
        <w:t>初步设计完成后进行工程总承包招标的投标人的综合评估分值构成与评分标准。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（一）分值构成</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投标人得分由投标报价、承包人建议书、承包人实施计划、资信业绩四部分的得分组成，总分100分。各部分分值构成如下：</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（1）投标报价：50分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（2）承包人建议书：10分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（3）承包人实施计划：30分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（4）资信业绩：10分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（二）评分标准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1．投标报价评标基准价计算方法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通过资格审查和初步评审后的投标人的报价为有效报价。有效报价去掉一个最高价、去掉一个最低价后的算术平均值为评标基准价；当有效报价为3家时，则3家有效报价的算术平均值为评标基准价。</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 投标报价的偏差率计算公式</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偏差率=100%×（投标人报价-评标基准价）/评标基准价</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 投标报价评分标准（50分）</w:t>
      </w:r>
    </w:p>
    <w:tbl>
      <w:tblPr>
        <w:tblStyle w:val="10"/>
        <w:tblW w:w="893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17" w:type="dxa"/>
            <w:vAlign w:val="center"/>
          </w:tcPr>
          <w:p>
            <w:pPr>
              <w:snapToGrid w:val="0"/>
              <w:spacing w:line="240" w:lineRule="atLeast"/>
              <w:jc w:val="center"/>
              <w:rPr>
                <w:rFonts w:ascii="黑体" w:hAnsi="黑体" w:eastAsia="黑体"/>
              </w:rPr>
            </w:pPr>
            <w:r>
              <w:rPr>
                <w:rFonts w:hint="eastAsia" w:ascii="黑体" w:hAnsi="黑体" w:eastAsia="黑体"/>
              </w:rPr>
              <w:t>评分项目</w:t>
            </w:r>
          </w:p>
        </w:tc>
        <w:tc>
          <w:tcPr>
            <w:tcW w:w="7513" w:type="dxa"/>
            <w:vAlign w:val="center"/>
          </w:tcPr>
          <w:p>
            <w:pPr>
              <w:snapToGrid w:val="0"/>
              <w:spacing w:line="240" w:lineRule="atLeast"/>
              <w:jc w:val="center"/>
              <w:rPr>
                <w:rFonts w:ascii="黑体" w:hAnsi="黑体" w:eastAsia="黑体"/>
              </w:rPr>
            </w:pPr>
            <w:r>
              <w:rPr>
                <w:rFonts w:hint="eastAsia" w:ascii="黑体" w:hAnsi="黑体" w:eastAsia="黑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17" w:type="dxa"/>
            <w:vAlign w:val="center"/>
          </w:tcPr>
          <w:p>
            <w:pPr>
              <w:snapToGrid w:val="0"/>
              <w:spacing w:line="240" w:lineRule="atLeast"/>
              <w:jc w:val="center"/>
              <w:rPr>
                <w:rFonts w:ascii="宋体" w:hAnsi="宋体"/>
              </w:rPr>
            </w:pPr>
            <w:r>
              <w:rPr>
                <w:rFonts w:hint="eastAsia" w:ascii="宋体" w:hAnsi="宋体"/>
              </w:rPr>
              <w:t>投标报价</w:t>
            </w:r>
          </w:p>
        </w:tc>
        <w:tc>
          <w:tcPr>
            <w:tcW w:w="7513" w:type="dxa"/>
            <w:vAlign w:val="center"/>
          </w:tcPr>
          <w:p>
            <w:pPr>
              <w:snapToGrid w:val="0"/>
              <w:spacing w:line="240" w:lineRule="atLeast"/>
              <w:rPr>
                <w:rFonts w:ascii="宋体" w:hAnsi="宋体"/>
              </w:rPr>
            </w:pPr>
            <w:r>
              <w:rPr>
                <w:rFonts w:hint="eastAsia" w:ascii="宋体" w:hAnsi="宋体"/>
              </w:rPr>
              <w:t>等于评标基准价的有效报价得满分；与评标基准价相比，其有效报价每增加1%，扣  1  分，每减少1%，扣  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930" w:type="dxa"/>
            <w:gridSpan w:val="2"/>
            <w:vAlign w:val="center"/>
          </w:tcPr>
          <w:p>
            <w:pPr>
              <w:snapToGrid w:val="0"/>
              <w:spacing w:line="240" w:lineRule="atLeast"/>
              <w:jc w:val="center"/>
              <w:rPr>
                <w:rFonts w:ascii="宋体" w:hAnsi="宋体"/>
              </w:rPr>
            </w:pPr>
            <w:r>
              <w:rPr>
                <w:rFonts w:hint="eastAsia" w:ascii="宋体" w:hAnsi="宋体"/>
              </w:rPr>
              <w:t>注：偏离不足1%的，按照插入法计算得分，结果四舍五入保留2位小数。</w:t>
            </w:r>
          </w:p>
        </w:tc>
      </w:tr>
    </w:tbl>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4.承包人建议书评分标准（10分）</w:t>
      </w:r>
    </w:p>
    <w:tbl>
      <w:tblPr>
        <w:tblStyle w:val="10"/>
        <w:tblW w:w="9002"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4" w:type="dxa"/>
            <w:vAlign w:val="center"/>
          </w:tcPr>
          <w:p>
            <w:pPr>
              <w:snapToGrid w:val="0"/>
              <w:spacing w:line="240" w:lineRule="atLeast"/>
              <w:jc w:val="center"/>
              <w:rPr>
                <w:rFonts w:ascii="黑体" w:hAnsi="黑体" w:eastAsia="黑体"/>
              </w:rPr>
            </w:pPr>
            <w:r>
              <w:rPr>
                <w:rFonts w:hint="eastAsia" w:ascii="黑体" w:hAnsi="黑体" w:eastAsia="黑体"/>
              </w:rPr>
              <w:t>评分项目</w:t>
            </w:r>
          </w:p>
        </w:tc>
        <w:tc>
          <w:tcPr>
            <w:tcW w:w="6237" w:type="dxa"/>
            <w:vAlign w:val="center"/>
          </w:tcPr>
          <w:p>
            <w:pPr>
              <w:snapToGrid w:val="0"/>
              <w:spacing w:line="240" w:lineRule="atLeast"/>
              <w:jc w:val="center"/>
              <w:rPr>
                <w:rFonts w:ascii="黑体" w:hAnsi="黑体" w:eastAsia="黑体"/>
              </w:rPr>
            </w:pPr>
            <w:r>
              <w:rPr>
                <w:rFonts w:hint="eastAsia" w:ascii="黑体" w:hAnsi="黑体" w:eastAsia="黑体"/>
              </w:rPr>
              <w:t>评分标准</w:t>
            </w:r>
          </w:p>
        </w:tc>
        <w:tc>
          <w:tcPr>
            <w:tcW w:w="851" w:type="dxa"/>
            <w:vAlign w:val="center"/>
          </w:tcPr>
          <w:p>
            <w:pPr>
              <w:snapToGrid w:val="0"/>
              <w:spacing w:line="240" w:lineRule="atLeast"/>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4" w:type="dxa"/>
            <w:vAlign w:val="center"/>
          </w:tcPr>
          <w:p>
            <w:pPr>
              <w:snapToGrid w:val="0"/>
              <w:spacing w:line="240" w:lineRule="atLeast"/>
              <w:jc w:val="center"/>
              <w:rPr>
                <w:rFonts w:ascii="宋体" w:hAnsi="宋体"/>
              </w:rPr>
            </w:pPr>
            <w:r>
              <w:rPr>
                <w:rFonts w:hint="eastAsia" w:ascii="宋体" w:hAnsi="宋体"/>
              </w:rPr>
              <w:t>设计方案（6分）</w:t>
            </w:r>
          </w:p>
        </w:tc>
        <w:tc>
          <w:tcPr>
            <w:tcW w:w="6237" w:type="dxa"/>
            <w:vAlign w:val="center"/>
          </w:tcPr>
          <w:p>
            <w:pPr>
              <w:snapToGrid w:val="0"/>
              <w:spacing w:line="240" w:lineRule="atLeast"/>
              <w:rPr>
                <w:rFonts w:ascii="宋体" w:hAnsi="宋体"/>
              </w:rPr>
            </w:pPr>
            <w:r>
              <w:rPr>
                <w:rFonts w:hint="eastAsia" w:ascii="宋体" w:hAnsi="宋体"/>
              </w:rPr>
              <w:t>根据对“发包人要求”的响应而作出的详细说明情况，设计优化措施、设计亮点、对初步设计方案的完善评分。</w:t>
            </w:r>
          </w:p>
        </w:tc>
        <w:tc>
          <w:tcPr>
            <w:tcW w:w="851" w:type="dxa"/>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4" w:type="dxa"/>
            <w:vAlign w:val="center"/>
          </w:tcPr>
          <w:p>
            <w:pPr>
              <w:snapToGrid w:val="0"/>
              <w:spacing w:line="240" w:lineRule="atLeast"/>
              <w:jc w:val="center"/>
              <w:rPr>
                <w:rFonts w:ascii="宋体" w:hAnsi="宋体"/>
              </w:rPr>
            </w:pPr>
            <w:r>
              <w:rPr>
                <w:rFonts w:hint="eastAsia" w:ascii="宋体" w:hAnsi="宋体"/>
              </w:rPr>
              <w:t>采购方案（2分）</w:t>
            </w:r>
          </w:p>
        </w:tc>
        <w:tc>
          <w:tcPr>
            <w:tcW w:w="6237" w:type="dxa"/>
            <w:vAlign w:val="center"/>
          </w:tcPr>
          <w:p>
            <w:pPr>
              <w:snapToGrid w:val="0"/>
              <w:spacing w:line="240" w:lineRule="atLeast"/>
              <w:rPr>
                <w:rFonts w:ascii="宋体" w:hAnsi="宋体"/>
              </w:rPr>
            </w:pPr>
            <w:r>
              <w:rPr>
                <w:rFonts w:hint="eastAsia" w:ascii="宋体" w:hAnsi="宋体"/>
              </w:rPr>
              <w:t>根据工程设备选型、采购、安装调试等方案的优劣评分。</w:t>
            </w:r>
          </w:p>
        </w:tc>
        <w:tc>
          <w:tcPr>
            <w:tcW w:w="851" w:type="dxa"/>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4" w:type="dxa"/>
            <w:vAlign w:val="center"/>
          </w:tcPr>
          <w:p>
            <w:pPr>
              <w:snapToGrid w:val="0"/>
              <w:spacing w:line="240" w:lineRule="atLeast"/>
              <w:jc w:val="center"/>
              <w:rPr>
                <w:rFonts w:ascii="宋体" w:hAnsi="宋体"/>
              </w:rPr>
            </w:pPr>
            <w:r>
              <w:rPr>
                <w:rFonts w:hint="eastAsia" w:ascii="宋体" w:hAnsi="宋体"/>
              </w:rPr>
              <w:t>分包方案（2分）</w:t>
            </w:r>
          </w:p>
        </w:tc>
        <w:tc>
          <w:tcPr>
            <w:tcW w:w="6237" w:type="dxa"/>
            <w:vAlign w:val="center"/>
          </w:tcPr>
          <w:p>
            <w:pPr>
              <w:snapToGrid w:val="0"/>
              <w:spacing w:line="240" w:lineRule="atLeast"/>
              <w:rPr>
                <w:rFonts w:ascii="宋体" w:hAnsi="宋体"/>
              </w:rPr>
            </w:pPr>
            <w:r>
              <w:rPr>
                <w:rFonts w:hint="eastAsia" w:ascii="宋体" w:hAnsi="宋体"/>
              </w:rPr>
              <w:t>根据分包方案的合理性及质量、安全管理制度及控制措施打分。</w:t>
            </w:r>
          </w:p>
        </w:tc>
        <w:tc>
          <w:tcPr>
            <w:tcW w:w="851" w:type="dxa"/>
            <w:vAlign w:val="center"/>
          </w:tcPr>
          <w:p>
            <w:pPr>
              <w:snapToGrid w:val="0"/>
              <w:spacing w:line="240" w:lineRule="atLeast"/>
              <w:jc w:val="center"/>
              <w:rPr>
                <w:rFonts w:ascii="宋体" w:hAnsi="宋体"/>
              </w:rPr>
            </w:pPr>
          </w:p>
        </w:tc>
      </w:tr>
    </w:tbl>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5.承包人实施计划评分标准（30分）</w:t>
      </w:r>
    </w:p>
    <w:tbl>
      <w:tblPr>
        <w:tblStyle w:val="10"/>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184"/>
        <w:gridCol w:w="510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3347" w:type="dxa"/>
            <w:gridSpan w:val="2"/>
            <w:vAlign w:val="center"/>
          </w:tcPr>
          <w:p>
            <w:pPr>
              <w:snapToGrid w:val="0"/>
              <w:spacing w:line="240" w:lineRule="atLeast"/>
              <w:jc w:val="center"/>
              <w:rPr>
                <w:rFonts w:ascii="黑体" w:hAnsi="黑体" w:eastAsia="黑体"/>
                <w:szCs w:val="21"/>
              </w:rPr>
            </w:pPr>
            <w:r>
              <w:rPr>
                <w:rFonts w:hint="eastAsia" w:ascii="黑体" w:hAnsi="黑体" w:eastAsia="黑体"/>
                <w:szCs w:val="21"/>
              </w:rPr>
              <w:t>评分项目</w:t>
            </w:r>
          </w:p>
        </w:tc>
        <w:tc>
          <w:tcPr>
            <w:tcW w:w="5103" w:type="dxa"/>
            <w:vAlign w:val="center"/>
          </w:tcPr>
          <w:p>
            <w:pPr>
              <w:snapToGrid w:val="0"/>
              <w:spacing w:line="240" w:lineRule="atLeast"/>
              <w:jc w:val="center"/>
              <w:rPr>
                <w:rFonts w:ascii="黑体" w:hAnsi="黑体" w:eastAsia="黑体"/>
                <w:szCs w:val="21"/>
              </w:rPr>
            </w:pPr>
            <w:r>
              <w:rPr>
                <w:rFonts w:hint="eastAsia" w:ascii="黑体" w:hAnsi="黑体" w:eastAsia="黑体"/>
                <w:szCs w:val="21"/>
              </w:rPr>
              <w:t>评分标准</w:t>
            </w:r>
          </w:p>
        </w:tc>
        <w:tc>
          <w:tcPr>
            <w:tcW w:w="822" w:type="dxa"/>
            <w:vAlign w:val="center"/>
          </w:tcPr>
          <w:p>
            <w:pPr>
              <w:snapToGrid w:val="0"/>
              <w:spacing w:line="240" w:lineRule="atLeast"/>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63" w:type="dxa"/>
            <w:vMerge w:val="restart"/>
            <w:vAlign w:val="center"/>
          </w:tcPr>
          <w:p>
            <w:pPr>
              <w:snapToGrid w:val="0"/>
              <w:spacing w:line="240" w:lineRule="atLeast"/>
              <w:jc w:val="center"/>
              <w:rPr>
                <w:rFonts w:ascii="宋体" w:hAnsi="宋体"/>
                <w:szCs w:val="21"/>
              </w:rPr>
            </w:pPr>
            <w:r>
              <w:rPr>
                <w:rFonts w:hint="eastAsia" w:ascii="宋体" w:hAnsi="宋体"/>
                <w:szCs w:val="21"/>
              </w:rPr>
              <w:t>总体实施方案</w:t>
            </w:r>
          </w:p>
          <w:p>
            <w:pPr>
              <w:snapToGrid w:val="0"/>
              <w:spacing w:line="240" w:lineRule="atLeast"/>
              <w:jc w:val="center"/>
              <w:rPr>
                <w:rFonts w:ascii="宋体" w:hAnsi="宋体"/>
                <w:szCs w:val="21"/>
              </w:rPr>
            </w:pPr>
            <w:r>
              <w:rPr>
                <w:rFonts w:hint="eastAsia" w:ascii="宋体" w:hAnsi="宋体"/>
                <w:szCs w:val="21"/>
              </w:rPr>
              <w:t>（10分）</w:t>
            </w:r>
          </w:p>
        </w:tc>
        <w:tc>
          <w:tcPr>
            <w:tcW w:w="2184" w:type="dxa"/>
            <w:vAlign w:val="center"/>
          </w:tcPr>
          <w:p>
            <w:pPr>
              <w:snapToGrid w:val="0"/>
              <w:spacing w:line="240" w:lineRule="atLeast"/>
              <w:jc w:val="center"/>
              <w:rPr>
                <w:rFonts w:ascii="宋体" w:hAnsi="宋体"/>
                <w:szCs w:val="21"/>
              </w:rPr>
            </w:pPr>
            <w:r>
              <w:rPr>
                <w:rFonts w:hint="eastAsia" w:ascii="宋体" w:hAnsi="宋体"/>
                <w:szCs w:val="21"/>
              </w:rPr>
              <w:t>设计实施方案     （4分）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对项目解读准确合理。（1分）</w:t>
            </w:r>
          </w:p>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设计重点、难点及控制措施。（1分）</w:t>
            </w:r>
          </w:p>
          <w:p>
            <w:pPr>
              <w:snapToGrid w:val="0"/>
              <w:spacing w:line="240" w:lineRule="atLeas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设计质量管理制度及控制措施。（1分）</w:t>
            </w:r>
          </w:p>
          <w:p>
            <w:pPr>
              <w:snapToGrid w:val="0"/>
              <w:spacing w:line="240" w:lineRule="atLeas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设计过程对工程总投资控制措施等。（1分）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Align w:val="center"/>
          </w:tcPr>
          <w:p>
            <w:pPr>
              <w:snapToGrid w:val="0"/>
              <w:spacing w:line="240" w:lineRule="atLeast"/>
              <w:jc w:val="center"/>
              <w:rPr>
                <w:rFonts w:ascii="宋体" w:hAnsi="宋体"/>
                <w:szCs w:val="21"/>
              </w:rPr>
            </w:pPr>
            <w:r>
              <w:rPr>
                <w:rFonts w:hint="eastAsia" w:ascii="宋体" w:hAnsi="宋体"/>
                <w:szCs w:val="21"/>
              </w:rPr>
              <w:t>施工实施方案      （6分）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施工方案的合理性。（2分）</w:t>
            </w:r>
          </w:p>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项目管理目标及控制。（2分）</w:t>
            </w:r>
          </w:p>
          <w:p>
            <w:pPr>
              <w:snapToGrid w:val="0"/>
              <w:spacing w:line="240" w:lineRule="atLeas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采用的新技术新工艺等。（2分）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restart"/>
            <w:vAlign w:val="center"/>
          </w:tcPr>
          <w:p>
            <w:pPr>
              <w:snapToGrid w:val="0"/>
              <w:spacing w:line="240" w:lineRule="atLeast"/>
              <w:jc w:val="center"/>
              <w:rPr>
                <w:rFonts w:ascii="宋体" w:hAnsi="宋体"/>
                <w:szCs w:val="21"/>
              </w:rPr>
            </w:pPr>
            <w:r>
              <w:rPr>
                <w:rFonts w:hint="eastAsia" w:ascii="宋体" w:hAnsi="宋体"/>
                <w:szCs w:val="21"/>
              </w:rPr>
              <w:t>项目实施要点</w:t>
            </w:r>
          </w:p>
          <w:p>
            <w:pPr>
              <w:snapToGrid w:val="0"/>
              <w:spacing w:line="240" w:lineRule="atLeast"/>
              <w:jc w:val="center"/>
              <w:rPr>
                <w:rFonts w:ascii="宋体" w:hAnsi="宋体"/>
                <w:szCs w:val="21"/>
              </w:rPr>
            </w:pPr>
            <w:r>
              <w:rPr>
                <w:rFonts w:hint="eastAsia" w:ascii="宋体" w:hAnsi="宋体"/>
                <w:szCs w:val="21"/>
              </w:rPr>
              <w:t>（10分）</w:t>
            </w:r>
          </w:p>
        </w:tc>
        <w:tc>
          <w:tcPr>
            <w:tcW w:w="2184" w:type="dxa"/>
            <w:vMerge w:val="restart"/>
            <w:vAlign w:val="center"/>
          </w:tcPr>
          <w:p>
            <w:pPr>
              <w:snapToGrid w:val="0"/>
              <w:spacing w:line="240" w:lineRule="atLeast"/>
              <w:jc w:val="center"/>
              <w:rPr>
                <w:rFonts w:ascii="宋体" w:hAnsi="宋体"/>
                <w:szCs w:val="21"/>
              </w:rPr>
            </w:pPr>
            <w:r>
              <w:rPr>
                <w:rFonts w:hint="eastAsia" w:ascii="宋体" w:hAnsi="宋体"/>
                <w:szCs w:val="21"/>
              </w:rPr>
              <w:t>勘察、设计实施要点 （2分）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勘察、设计进度计划及控制措施。（1分）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勘察、设计分包计划。（1分）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restart"/>
            <w:vAlign w:val="center"/>
          </w:tcPr>
          <w:p>
            <w:pPr>
              <w:snapToGrid w:val="0"/>
              <w:spacing w:line="240" w:lineRule="atLeast"/>
              <w:jc w:val="center"/>
              <w:rPr>
                <w:rFonts w:ascii="宋体" w:hAnsi="宋体"/>
                <w:szCs w:val="21"/>
              </w:rPr>
            </w:pPr>
            <w:r>
              <w:rPr>
                <w:rFonts w:hint="eastAsia" w:ascii="宋体" w:hAnsi="宋体"/>
                <w:szCs w:val="21"/>
              </w:rPr>
              <w:t>采购实施要点</w:t>
            </w:r>
          </w:p>
          <w:p>
            <w:pPr>
              <w:snapToGrid w:val="0"/>
              <w:spacing w:line="240" w:lineRule="atLeast"/>
              <w:jc w:val="center"/>
              <w:rPr>
                <w:rFonts w:ascii="宋体" w:hAnsi="宋体"/>
                <w:szCs w:val="21"/>
              </w:rPr>
            </w:pPr>
            <w:r>
              <w:rPr>
                <w:rFonts w:hint="eastAsia" w:ascii="宋体" w:hAnsi="宋体"/>
                <w:szCs w:val="21"/>
              </w:rPr>
              <w:t>（1分）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采购计划及要点。（0.5分）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资金使用计划。（0.5分）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restart"/>
            <w:vAlign w:val="center"/>
          </w:tcPr>
          <w:p>
            <w:pPr>
              <w:snapToGrid w:val="0"/>
              <w:spacing w:line="240" w:lineRule="atLeast"/>
              <w:jc w:val="center"/>
              <w:rPr>
                <w:rFonts w:ascii="宋体" w:hAnsi="宋体"/>
                <w:szCs w:val="21"/>
              </w:rPr>
            </w:pPr>
            <w:r>
              <w:rPr>
                <w:rFonts w:hint="eastAsia" w:ascii="宋体" w:hAnsi="宋体"/>
                <w:szCs w:val="21"/>
              </w:rPr>
              <w:t>施工实施要点</w:t>
            </w:r>
          </w:p>
          <w:p>
            <w:pPr>
              <w:snapToGrid w:val="0"/>
              <w:spacing w:line="240" w:lineRule="atLeast"/>
              <w:jc w:val="center"/>
              <w:rPr>
                <w:rFonts w:ascii="宋体" w:hAnsi="宋体"/>
                <w:szCs w:val="21"/>
              </w:rPr>
            </w:pPr>
            <w:r>
              <w:rPr>
                <w:rFonts w:hint="eastAsia" w:ascii="宋体" w:hAnsi="宋体"/>
                <w:szCs w:val="21"/>
              </w:rPr>
              <w:t>（6分）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施工进度计划及要点。（2分）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劳动力、机械设备和材料投入计划。（1分）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施工难点及要点。（2分）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施工现场平面布置及规划。（0.5分）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施工分包计划及要点。（0.5分）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restart"/>
            <w:vAlign w:val="center"/>
          </w:tcPr>
          <w:p>
            <w:pPr>
              <w:snapToGrid w:val="0"/>
              <w:spacing w:line="240" w:lineRule="atLeast"/>
              <w:jc w:val="center"/>
              <w:rPr>
                <w:rFonts w:ascii="宋体" w:hAnsi="宋体"/>
                <w:szCs w:val="21"/>
              </w:rPr>
            </w:pPr>
            <w:r>
              <w:rPr>
                <w:rFonts w:hint="eastAsia" w:ascii="宋体" w:hAnsi="宋体"/>
                <w:szCs w:val="21"/>
              </w:rPr>
              <w:t xml:space="preserve">试运行实施要点 </w:t>
            </w:r>
          </w:p>
          <w:p>
            <w:pPr>
              <w:snapToGrid w:val="0"/>
              <w:spacing w:line="240" w:lineRule="atLeast"/>
              <w:jc w:val="center"/>
              <w:rPr>
                <w:rFonts w:ascii="宋体" w:hAnsi="宋体"/>
                <w:szCs w:val="21"/>
              </w:rPr>
            </w:pPr>
            <w:r>
              <w:rPr>
                <w:rFonts w:hint="eastAsia" w:ascii="宋体" w:hAnsi="宋体"/>
                <w:szCs w:val="21"/>
              </w:rPr>
              <w:t>（1分）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试运行实施计划。（0.5分）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试运行实施要点。（0.5分）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restart"/>
            <w:vAlign w:val="center"/>
          </w:tcPr>
          <w:p>
            <w:pPr>
              <w:snapToGrid w:val="0"/>
              <w:spacing w:line="240" w:lineRule="atLeast"/>
              <w:jc w:val="center"/>
              <w:rPr>
                <w:rFonts w:ascii="宋体" w:hAnsi="宋体"/>
                <w:szCs w:val="21"/>
              </w:rPr>
            </w:pPr>
            <w:r>
              <w:rPr>
                <w:rFonts w:hint="eastAsia" w:ascii="宋体" w:hAnsi="宋体"/>
                <w:szCs w:val="21"/>
              </w:rPr>
              <w:t>项目管理要点</w:t>
            </w:r>
          </w:p>
          <w:p>
            <w:pPr>
              <w:snapToGrid w:val="0"/>
              <w:spacing w:line="240" w:lineRule="atLeast"/>
              <w:jc w:val="center"/>
              <w:rPr>
                <w:rFonts w:ascii="宋体" w:hAnsi="宋体"/>
                <w:szCs w:val="21"/>
              </w:rPr>
            </w:pPr>
            <w:r>
              <w:rPr>
                <w:rFonts w:hint="eastAsia" w:ascii="宋体" w:hAnsi="宋体"/>
                <w:szCs w:val="21"/>
              </w:rPr>
              <w:t>（10分）</w:t>
            </w:r>
          </w:p>
        </w:tc>
        <w:tc>
          <w:tcPr>
            <w:tcW w:w="2184" w:type="dxa"/>
            <w:vAlign w:val="center"/>
          </w:tcPr>
          <w:p>
            <w:pPr>
              <w:snapToGrid w:val="0"/>
              <w:spacing w:line="240" w:lineRule="atLeast"/>
              <w:jc w:val="center"/>
              <w:rPr>
                <w:rFonts w:ascii="宋体" w:hAnsi="宋体"/>
                <w:szCs w:val="21"/>
              </w:rPr>
            </w:pPr>
            <w:r>
              <w:rPr>
                <w:rFonts w:hint="eastAsia" w:ascii="宋体" w:hAnsi="宋体"/>
                <w:szCs w:val="21"/>
              </w:rPr>
              <w:t>合同管理（0.5分）</w:t>
            </w:r>
          </w:p>
        </w:tc>
        <w:tc>
          <w:tcPr>
            <w:tcW w:w="5103" w:type="dxa"/>
            <w:vAlign w:val="center"/>
          </w:tcPr>
          <w:p>
            <w:pPr>
              <w:snapToGrid w:val="0"/>
              <w:spacing w:line="240" w:lineRule="atLeast"/>
              <w:rPr>
                <w:rFonts w:ascii="宋体" w:hAnsi="宋体"/>
                <w:szCs w:val="21"/>
              </w:rPr>
            </w:pPr>
            <w:r>
              <w:rPr>
                <w:rFonts w:hint="eastAsia" w:ascii="宋体" w:hAnsi="宋体"/>
                <w:szCs w:val="21"/>
              </w:rPr>
              <w:t>管理措施与方案。（0.5分）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restart"/>
            <w:vAlign w:val="center"/>
          </w:tcPr>
          <w:p>
            <w:pPr>
              <w:snapToGrid w:val="0"/>
              <w:spacing w:line="240" w:lineRule="atLeast"/>
              <w:jc w:val="center"/>
              <w:rPr>
                <w:rFonts w:ascii="宋体" w:hAnsi="宋体"/>
                <w:szCs w:val="21"/>
              </w:rPr>
            </w:pPr>
            <w:r>
              <w:rPr>
                <w:rFonts w:hint="eastAsia" w:ascii="宋体" w:hAnsi="宋体"/>
                <w:szCs w:val="21"/>
              </w:rPr>
              <w:t>资源管理（1分）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机械设备、劳动力、材料投入与项目的适应性。（0.5分）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内、外部资源配置计划及管理。（0.5分）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restart"/>
            <w:vAlign w:val="center"/>
          </w:tcPr>
          <w:p>
            <w:pPr>
              <w:snapToGrid w:val="0"/>
              <w:spacing w:line="240" w:lineRule="atLeast"/>
              <w:jc w:val="center"/>
              <w:rPr>
                <w:rFonts w:ascii="宋体" w:hAnsi="宋体"/>
                <w:szCs w:val="21"/>
              </w:rPr>
            </w:pPr>
            <w:r>
              <w:rPr>
                <w:rFonts w:hint="eastAsia" w:ascii="宋体" w:hAnsi="宋体"/>
                <w:szCs w:val="21"/>
              </w:rPr>
              <w:t>质量控制</w:t>
            </w:r>
          </w:p>
          <w:p>
            <w:pPr>
              <w:snapToGrid w:val="0"/>
              <w:spacing w:line="240" w:lineRule="atLeast"/>
              <w:jc w:val="center"/>
              <w:rPr>
                <w:rFonts w:ascii="宋体" w:hAnsi="宋体"/>
                <w:szCs w:val="21"/>
              </w:rPr>
            </w:pPr>
            <w:r>
              <w:rPr>
                <w:rFonts w:hint="eastAsia" w:ascii="宋体" w:hAnsi="宋体"/>
                <w:szCs w:val="21"/>
              </w:rPr>
              <w:t>（2分）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设计质量管理制度及控制措施。（1分）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施工质量管理制度及控制措施。（1分）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restart"/>
            <w:vAlign w:val="center"/>
          </w:tcPr>
          <w:p>
            <w:pPr>
              <w:snapToGrid w:val="0"/>
              <w:spacing w:line="240" w:lineRule="atLeast"/>
              <w:jc w:val="center"/>
              <w:rPr>
                <w:rFonts w:ascii="宋体" w:hAnsi="宋体"/>
                <w:szCs w:val="21"/>
              </w:rPr>
            </w:pPr>
            <w:r>
              <w:rPr>
                <w:rFonts w:hint="eastAsia" w:ascii="宋体" w:hAnsi="宋体"/>
                <w:szCs w:val="21"/>
              </w:rPr>
              <w:t>进度控制</w:t>
            </w:r>
          </w:p>
          <w:p>
            <w:pPr>
              <w:snapToGrid w:val="0"/>
              <w:spacing w:line="240" w:lineRule="atLeast"/>
              <w:jc w:val="center"/>
              <w:rPr>
                <w:rFonts w:ascii="宋体" w:hAnsi="宋体"/>
                <w:szCs w:val="21"/>
              </w:rPr>
            </w:pPr>
            <w:r>
              <w:rPr>
                <w:rFonts w:hint="eastAsia" w:ascii="宋体" w:hAnsi="宋体"/>
                <w:szCs w:val="21"/>
              </w:rPr>
              <w:t>（1分）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设计进度管理制度及控制措施。（0.5分）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施工进度管理制度及控制措施。（0.5分）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Align w:val="center"/>
          </w:tcPr>
          <w:p>
            <w:pPr>
              <w:snapToGrid w:val="0"/>
              <w:spacing w:line="240" w:lineRule="atLeast"/>
              <w:jc w:val="center"/>
              <w:rPr>
                <w:rFonts w:ascii="宋体" w:hAnsi="宋体"/>
                <w:szCs w:val="21"/>
              </w:rPr>
            </w:pPr>
            <w:r>
              <w:rPr>
                <w:rFonts w:hint="eastAsia" w:ascii="宋体" w:hAnsi="宋体"/>
                <w:szCs w:val="21"/>
              </w:rPr>
              <w:t>费用估算及控制要点（1分）</w:t>
            </w:r>
          </w:p>
        </w:tc>
        <w:tc>
          <w:tcPr>
            <w:tcW w:w="5103" w:type="dxa"/>
            <w:vAlign w:val="center"/>
          </w:tcPr>
          <w:p>
            <w:pPr>
              <w:snapToGrid w:val="0"/>
              <w:spacing w:line="240" w:lineRule="atLeast"/>
              <w:rPr>
                <w:rFonts w:ascii="宋体" w:hAnsi="宋体"/>
                <w:szCs w:val="21"/>
              </w:rPr>
            </w:pPr>
            <w:r>
              <w:rPr>
                <w:rFonts w:hint="eastAsia" w:ascii="宋体" w:hAnsi="宋体"/>
                <w:szCs w:val="21"/>
              </w:rPr>
              <w:t>各阶段费用估算及控制措施。（1分）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Align w:val="center"/>
          </w:tcPr>
          <w:p>
            <w:pPr>
              <w:snapToGrid w:val="0"/>
              <w:spacing w:line="240" w:lineRule="atLeast"/>
              <w:jc w:val="center"/>
              <w:rPr>
                <w:rFonts w:ascii="宋体" w:hAnsi="宋体"/>
                <w:szCs w:val="21"/>
              </w:rPr>
            </w:pPr>
            <w:r>
              <w:rPr>
                <w:rFonts w:hint="eastAsia" w:ascii="宋体" w:hAnsi="宋体"/>
                <w:szCs w:val="21"/>
              </w:rPr>
              <w:t>安全管理（2分）</w:t>
            </w:r>
          </w:p>
        </w:tc>
        <w:tc>
          <w:tcPr>
            <w:tcW w:w="5103" w:type="dxa"/>
            <w:vAlign w:val="center"/>
          </w:tcPr>
          <w:p>
            <w:pPr>
              <w:snapToGrid w:val="0"/>
              <w:spacing w:line="240" w:lineRule="atLeast"/>
              <w:rPr>
                <w:rFonts w:ascii="宋体" w:hAnsi="宋体"/>
                <w:szCs w:val="21"/>
              </w:rPr>
            </w:pPr>
            <w:r>
              <w:rPr>
                <w:rFonts w:hint="eastAsia" w:ascii="宋体" w:hAnsi="宋体"/>
                <w:szCs w:val="21"/>
              </w:rPr>
              <w:t>施工安全管理制度及控制措施。（2分）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restart"/>
            <w:vAlign w:val="center"/>
          </w:tcPr>
          <w:p>
            <w:pPr>
              <w:snapToGrid w:val="0"/>
              <w:spacing w:line="240" w:lineRule="atLeast"/>
              <w:jc w:val="center"/>
              <w:rPr>
                <w:rFonts w:ascii="宋体" w:hAnsi="宋体"/>
                <w:szCs w:val="21"/>
              </w:rPr>
            </w:pPr>
            <w:r>
              <w:rPr>
                <w:rFonts w:hint="eastAsia" w:ascii="宋体" w:hAnsi="宋体"/>
                <w:szCs w:val="21"/>
              </w:rPr>
              <w:t>财税管理         （0.5分）</w:t>
            </w:r>
          </w:p>
        </w:tc>
        <w:tc>
          <w:tcPr>
            <w:tcW w:w="5103" w:type="dxa"/>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财务管理及风险防控措施。（0.25分）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税务管理及风险防控措施。（0.25分）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Align w:val="center"/>
          </w:tcPr>
          <w:p>
            <w:pPr>
              <w:snapToGrid w:val="0"/>
              <w:spacing w:line="240" w:lineRule="atLeast"/>
              <w:jc w:val="center"/>
              <w:rPr>
                <w:rFonts w:ascii="宋体" w:hAnsi="宋体"/>
                <w:szCs w:val="21"/>
              </w:rPr>
            </w:pPr>
            <w:r>
              <w:rPr>
                <w:rFonts w:hint="eastAsia" w:ascii="宋体" w:hAnsi="宋体"/>
                <w:szCs w:val="21"/>
              </w:rPr>
              <w:t>职业健康管理      （0.5分）</w:t>
            </w:r>
          </w:p>
        </w:tc>
        <w:tc>
          <w:tcPr>
            <w:tcW w:w="5103" w:type="dxa"/>
            <w:vAlign w:val="center"/>
          </w:tcPr>
          <w:p>
            <w:pPr>
              <w:snapToGrid w:val="0"/>
              <w:spacing w:line="240" w:lineRule="atLeast"/>
              <w:rPr>
                <w:rFonts w:ascii="宋体" w:hAnsi="宋体"/>
                <w:szCs w:val="21"/>
              </w:rPr>
            </w:pPr>
            <w:r>
              <w:rPr>
                <w:rFonts w:hint="eastAsia" w:ascii="宋体" w:hAnsi="宋体"/>
                <w:szCs w:val="21"/>
              </w:rPr>
              <w:t>管理措施与方案。（0.5分）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Align w:val="center"/>
          </w:tcPr>
          <w:p>
            <w:pPr>
              <w:snapToGrid w:val="0"/>
              <w:spacing w:line="240" w:lineRule="atLeast"/>
              <w:jc w:val="center"/>
              <w:rPr>
                <w:rFonts w:ascii="宋体" w:hAnsi="宋体"/>
                <w:szCs w:val="21"/>
              </w:rPr>
            </w:pPr>
            <w:r>
              <w:rPr>
                <w:rFonts w:hint="eastAsia" w:ascii="宋体" w:hAnsi="宋体"/>
                <w:szCs w:val="21"/>
              </w:rPr>
              <w:t>环境管理</w:t>
            </w:r>
          </w:p>
          <w:p>
            <w:pPr>
              <w:snapToGrid w:val="0"/>
              <w:spacing w:line="240" w:lineRule="atLeast"/>
              <w:jc w:val="center"/>
              <w:rPr>
                <w:rFonts w:ascii="宋体" w:hAnsi="宋体"/>
                <w:szCs w:val="21"/>
              </w:rPr>
            </w:pPr>
            <w:r>
              <w:rPr>
                <w:rFonts w:hint="eastAsia" w:ascii="宋体" w:hAnsi="宋体"/>
                <w:szCs w:val="21"/>
              </w:rPr>
              <w:t>（0.5分）</w:t>
            </w:r>
          </w:p>
        </w:tc>
        <w:tc>
          <w:tcPr>
            <w:tcW w:w="5103" w:type="dxa"/>
            <w:vAlign w:val="center"/>
          </w:tcPr>
          <w:p>
            <w:pPr>
              <w:snapToGrid w:val="0"/>
              <w:spacing w:line="240" w:lineRule="atLeast"/>
              <w:rPr>
                <w:rFonts w:ascii="宋体" w:hAnsi="宋体"/>
                <w:szCs w:val="21"/>
              </w:rPr>
            </w:pPr>
            <w:r>
              <w:rPr>
                <w:rFonts w:hint="eastAsia" w:ascii="宋体" w:hAnsi="宋体"/>
                <w:szCs w:val="21"/>
              </w:rPr>
              <w:t>管理措施与方案。（0.5分）</w:t>
            </w:r>
          </w:p>
        </w:tc>
        <w:tc>
          <w:tcPr>
            <w:tcW w:w="822"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tcBorders>
              <w:bottom w:val="single" w:color="auto" w:sz="4" w:space="0"/>
            </w:tcBorders>
            <w:vAlign w:val="center"/>
          </w:tcPr>
          <w:p>
            <w:pPr>
              <w:snapToGrid w:val="0"/>
              <w:spacing w:line="240" w:lineRule="atLeast"/>
              <w:jc w:val="center"/>
              <w:rPr>
                <w:rFonts w:ascii="宋体" w:hAnsi="宋体"/>
                <w:szCs w:val="21"/>
              </w:rPr>
            </w:pPr>
          </w:p>
        </w:tc>
        <w:tc>
          <w:tcPr>
            <w:tcW w:w="2184" w:type="dxa"/>
            <w:vMerge w:val="restart"/>
            <w:tcBorders>
              <w:bottom w:val="single" w:color="auto" w:sz="4" w:space="0"/>
            </w:tcBorders>
            <w:vAlign w:val="center"/>
          </w:tcPr>
          <w:p>
            <w:pPr>
              <w:snapToGrid w:val="0"/>
              <w:spacing w:line="240" w:lineRule="atLeast"/>
              <w:jc w:val="center"/>
              <w:rPr>
                <w:rFonts w:ascii="宋体" w:hAnsi="宋体"/>
                <w:szCs w:val="21"/>
              </w:rPr>
            </w:pPr>
            <w:r>
              <w:rPr>
                <w:rFonts w:hint="eastAsia" w:ascii="宋体" w:hAnsi="宋体"/>
                <w:szCs w:val="21"/>
              </w:rPr>
              <w:t>沟通和协调管理</w:t>
            </w:r>
          </w:p>
          <w:p>
            <w:pPr>
              <w:snapToGrid w:val="0"/>
              <w:spacing w:line="240" w:lineRule="atLeast"/>
              <w:jc w:val="center"/>
              <w:rPr>
                <w:rFonts w:ascii="宋体" w:hAnsi="宋体"/>
                <w:szCs w:val="21"/>
              </w:rPr>
            </w:pPr>
            <w:r>
              <w:rPr>
                <w:rFonts w:hint="eastAsia" w:ascii="宋体" w:hAnsi="宋体"/>
                <w:szCs w:val="21"/>
              </w:rPr>
              <w:t>（1分）</w:t>
            </w:r>
          </w:p>
        </w:tc>
        <w:tc>
          <w:tcPr>
            <w:tcW w:w="5103" w:type="dxa"/>
            <w:tcBorders>
              <w:bottom w:val="single" w:color="auto" w:sz="4" w:space="0"/>
            </w:tcBorders>
            <w:vAlign w:val="center"/>
          </w:tcPr>
          <w:p>
            <w:pPr>
              <w:snapToGrid w:val="0"/>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与业主的沟通。（0.2分）</w:t>
            </w:r>
          </w:p>
        </w:tc>
        <w:tc>
          <w:tcPr>
            <w:tcW w:w="822" w:type="dxa"/>
            <w:vMerge w:val="restart"/>
            <w:tcBorders>
              <w:bottom w:val="single" w:color="auto" w:sz="4" w:space="0"/>
            </w:tcBorders>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ascii="宋体" w:hAnsi="宋体"/>
                <w:szCs w:val="21"/>
              </w:rPr>
              <w:t>2.</w:t>
            </w:r>
            <w:r>
              <w:rPr>
                <w:rFonts w:hint="eastAsia" w:ascii="宋体" w:hAnsi="宋体"/>
                <w:szCs w:val="21"/>
              </w:rPr>
              <w:t>设计、采购与施工间的协调。（0.3分）</w:t>
            </w:r>
          </w:p>
        </w:tc>
        <w:tc>
          <w:tcPr>
            <w:tcW w:w="822" w:type="dxa"/>
            <w:vMerge w:val="continue"/>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pPr>
              <w:snapToGrid w:val="0"/>
              <w:spacing w:line="240" w:lineRule="atLeast"/>
              <w:jc w:val="center"/>
              <w:rPr>
                <w:rFonts w:ascii="宋体" w:hAnsi="宋体"/>
                <w:szCs w:val="21"/>
              </w:rPr>
            </w:pPr>
          </w:p>
        </w:tc>
        <w:tc>
          <w:tcPr>
            <w:tcW w:w="2184" w:type="dxa"/>
            <w:vMerge w:val="continue"/>
            <w:vAlign w:val="center"/>
          </w:tcPr>
          <w:p>
            <w:pPr>
              <w:snapToGrid w:val="0"/>
              <w:spacing w:line="240" w:lineRule="atLeast"/>
              <w:jc w:val="center"/>
              <w:rPr>
                <w:rFonts w:ascii="宋体" w:hAnsi="宋体"/>
                <w:szCs w:val="21"/>
              </w:rPr>
            </w:pPr>
          </w:p>
        </w:tc>
        <w:tc>
          <w:tcPr>
            <w:tcW w:w="5103" w:type="dxa"/>
            <w:vAlign w:val="center"/>
          </w:tcPr>
          <w:p>
            <w:pPr>
              <w:snapToGrid w:val="0"/>
              <w:spacing w:line="240" w:lineRule="atLeast"/>
              <w:rPr>
                <w:rFonts w:ascii="宋体" w:hAnsi="宋体"/>
                <w:szCs w:val="21"/>
              </w:rPr>
            </w:pPr>
            <w:r>
              <w:rPr>
                <w:rFonts w:ascii="宋体" w:hAnsi="宋体"/>
                <w:szCs w:val="21"/>
              </w:rPr>
              <w:t>3.</w:t>
            </w:r>
            <w:r>
              <w:rPr>
                <w:rFonts w:hint="eastAsia" w:ascii="宋体" w:hAnsi="宋体"/>
                <w:szCs w:val="21"/>
              </w:rPr>
              <w:t>工程交验后服务措施。（0.5分）</w:t>
            </w:r>
          </w:p>
        </w:tc>
        <w:tc>
          <w:tcPr>
            <w:tcW w:w="822" w:type="dxa"/>
            <w:vMerge w:val="continue"/>
            <w:vAlign w:val="center"/>
          </w:tcPr>
          <w:p>
            <w:pPr>
              <w:snapToGrid w:val="0"/>
              <w:spacing w:line="240" w:lineRule="atLeast"/>
              <w:jc w:val="center"/>
              <w:rPr>
                <w:rFonts w:ascii="宋体" w:hAnsi="宋体"/>
                <w:szCs w:val="21"/>
              </w:rPr>
            </w:pPr>
          </w:p>
        </w:tc>
      </w:tr>
    </w:tbl>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6.资信业绩评分标准（10分）</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63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141" w:type="dxa"/>
            <w:vAlign w:val="center"/>
          </w:tcPr>
          <w:p>
            <w:pPr>
              <w:snapToGrid w:val="0"/>
              <w:spacing w:line="240" w:lineRule="atLeast"/>
              <w:jc w:val="center"/>
              <w:rPr>
                <w:rFonts w:ascii="黑体" w:hAnsi="黑体" w:eastAsia="黑体"/>
              </w:rPr>
            </w:pPr>
            <w:r>
              <w:rPr>
                <w:rFonts w:hint="eastAsia" w:ascii="黑体" w:hAnsi="黑体" w:eastAsia="黑体"/>
              </w:rPr>
              <w:t>项目</w:t>
            </w:r>
          </w:p>
        </w:tc>
        <w:tc>
          <w:tcPr>
            <w:tcW w:w="6359" w:type="dxa"/>
            <w:vAlign w:val="center"/>
          </w:tcPr>
          <w:p>
            <w:pPr>
              <w:snapToGrid w:val="0"/>
              <w:spacing w:line="240" w:lineRule="atLeast"/>
              <w:jc w:val="center"/>
              <w:rPr>
                <w:rFonts w:ascii="黑体" w:hAnsi="黑体" w:eastAsia="黑体"/>
              </w:rPr>
            </w:pPr>
            <w:r>
              <w:rPr>
                <w:rFonts w:hint="eastAsia" w:ascii="黑体" w:hAnsi="黑体" w:eastAsia="黑体"/>
              </w:rPr>
              <w:t>评分标准</w:t>
            </w:r>
          </w:p>
        </w:tc>
        <w:tc>
          <w:tcPr>
            <w:tcW w:w="851" w:type="dxa"/>
            <w:vAlign w:val="center"/>
          </w:tcPr>
          <w:p>
            <w:pPr>
              <w:snapToGrid w:val="0"/>
              <w:spacing w:line="240" w:lineRule="atLeast"/>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vAlign w:val="center"/>
          </w:tcPr>
          <w:p>
            <w:pPr>
              <w:snapToGrid w:val="0"/>
              <w:spacing w:line="240" w:lineRule="atLeast"/>
              <w:jc w:val="center"/>
              <w:rPr>
                <w:rFonts w:ascii="宋体" w:hAnsi="宋体"/>
              </w:rPr>
            </w:pPr>
            <w:r>
              <w:rPr>
                <w:rFonts w:hint="eastAsia" w:ascii="宋体" w:hAnsi="宋体"/>
              </w:rPr>
              <w:t>投标人类似项目业绩 （6分）</w:t>
            </w:r>
          </w:p>
        </w:tc>
        <w:tc>
          <w:tcPr>
            <w:tcW w:w="6359" w:type="dxa"/>
            <w:vAlign w:val="center"/>
          </w:tcPr>
          <w:p>
            <w:pPr>
              <w:snapToGrid w:val="0"/>
              <w:spacing w:line="240" w:lineRule="atLeast"/>
              <w:jc w:val="left"/>
              <w:rPr>
                <w:rFonts w:ascii="宋体" w:hAnsi="宋体"/>
              </w:rPr>
            </w:pPr>
            <w:r>
              <w:rPr>
                <w:rFonts w:hint="eastAsia" w:ascii="宋体" w:hAnsi="宋体"/>
              </w:rPr>
              <w:t>企业近 5 年完成的类似项目，设计业绩每个 0.5 分，施工业绩每个 0.5 分，工程总承包业绩每个 1 分。</w:t>
            </w:r>
          </w:p>
        </w:tc>
        <w:tc>
          <w:tcPr>
            <w:tcW w:w="851" w:type="dxa"/>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vAlign w:val="center"/>
          </w:tcPr>
          <w:p>
            <w:pPr>
              <w:snapToGrid w:val="0"/>
              <w:spacing w:line="240" w:lineRule="atLeast"/>
              <w:jc w:val="center"/>
              <w:rPr>
                <w:rFonts w:ascii="宋体" w:hAnsi="宋体"/>
              </w:rPr>
            </w:pPr>
            <w:r>
              <w:rPr>
                <w:rFonts w:hint="eastAsia" w:ascii="宋体" w:hAnsi="宋体"/>
              </w:rPr>
              <w:t>工程总承包项目经理业绩 （1分）</w:t>
            </w:r>
          </w:p>
        </w:tc>
        <w:tc>
          <w:tcPr>
            <w:tcW w:w="6359" w:type="dxa"/>
            <w:vAlign w:val="center"/>
          </w:tcPr>
          <w:p>
            <w:pPr>
              <w:snapToGrid w:val="0"/>
              <w:spacing w:line="240" w:lineRule="atLeast"/>
              <w:jc w:val="left"/>
              <w:rPr>
                <w:rFonts w:ascii="宋体" w:hAnsi="宋体"/>
              </w:rPr>
            </w:pPr>
            <w:r>
              <w:rPr>
                <w:rFonts w:hint="eastAsia" w:ascii="宋体" w:hAnsi="宋体"/>
              </w:rPr>
              <w:t>以工程总承包项目经理近 5 年完成的类似项目业绩每个 0.5 分。</w:t>
            </w:r>
          </w:p>
        </w:tc>
        <w:tc>
          <w:tcPr>
            <w:tcW w:w="851" w:type="dxa"/>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vAlign w:val="center"/>
          </w:tcPr>
          <w:p>
            <w:pPr>
              <w:snapToGrid w:val="0"/>
              <w:spacing w:line="240" w:lineRule="atLeast"/>
              <w:jc w:val="center"/>
              <w:rPr>
                <w:rFonts w:ascii="宋体" w:hAnsi="宋体"/>
              </w:rPr>
            </w:pPr>
            <w:r>
              <w:rPr>
                <w:rFonts w:hint="eastAsia" w:ascii="宋体" w:hAnsi="宋体"/>
              </w:rPr>
              <w:t>设计项目负责人业绩</w:t>
            </w:r>
          </w:p>
          <w:p>
            <w:pPr>
              <w:snapToGrid w:val="0"/>
              <w:spacing w:line="240" w:lineRule="atLeast"/>
              <w:jc w:val="center"/>
              <w:rPr>
                <w:rFonts w:ascii="宋体" w:hAnsi="宋体"/>
              </w:rPr>
            </w:pPr>
            <w:r>
              <w:rPr>
                <w:rFonts w:hint="eastAsia" w:ascii="宋体" w:hAnsi="宋体"/>
              </w:rPr>
              <w:t>（1分）</w:t>
            </w:r>
          </w:p>
        </w:tc>
        <w:tc>
          <w:tcPr>
            <w:tcW w:w="6359" w:type="dxa"/>
            <w:vAlign w:val="center"/>
          </w:tcPr>
          <w:p>
            <w:pPr>
              <w:snapToGrid w:val="0"/>
              <w:spacing w:line="240" w:lineRule="atLeast"/>
              <w:jc w:val="left"/>
              <w:rPr>
                <w:rFonts w:ascii="宋体" w:hAnsi="宋体"/>
              </w:rPr>
            </w:pPr>
            <w:r>
              <w:rPr>
                <w:rFonts w:hint="eastAsia" w:ascii="宋体" w:hAnsi="宋体"/>
              </w:rPr>
              <w:t>以设计项目负责人近 5 年完成的类似项目业绩每个 0.5 分。</w:t>
            </w:r>
          </w:p>
        </w:tc>
        <w:tc>
          <w:tcPr>
            <w:tcW w:w="851" w:type="dxa"/>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41" w:type="dxa"/>
            <w:vAlign w:val="center"/>
          </w:tcPr>
          <w:p>
            <w:pPr>
              <w:snapToGrid w:val="0"/>
              <w:spacing w:line="240" w:lineRule="atLeast"/>
              <w:jc w:val="center"/>
              <w:rPr>
                <w:rFonts w:ascii="宋体" w:hAnsi="宋体"/>
              </w:rPr>
            </w:pPr>
            <w:r>
              <w:rPr>
                <w:rFonts w:hint="eastAsia" w:ascii="宋体" w:hAnsi="宋体"/>
              </w:rPr>
              <w:t>施工项目负责人业绩     （1分）</w:t>
            </w:r>
          </w:p>
        </w:tc>
        <w:tc>
          <w:tcPr>
            <w:tcW w:w="6359" w:type="dxa"/>
            <w:vAlign w:val="center"/>
          </w:tcPr>
          <w:p>
            <w:pPr>
              <w:snapToGrid w:val="0"/>
              <w:spacing w:line="240" w:lineRule="atLeast"/>
              <w:jc w:val="left"/>
              <w:rPr>
                <w:rFonts w:ascii="宋体" w:hAnsi="宋体"/>
              </w:rPr>
            </w:pPr>
            <w:r>
              <w:rPr>
                <w:rFonts w:hint="eastAsia" w:ascii="宋体" w:hAnsi="宋体"/>
              </w:rPr>
              <w:t>以施工项目负责人近 5 年完成的类似项目业绩每个 0.5 分。</w:t>
            </w:r>
          </w:p>
        </w:tc>
        <w:tc>
          <w:tcPr>
            <w:tcW w:w="851" w:type="dxa"/>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141" w:type="dxa"/>
            <w:vAlign w:val="center"/>
          </w:tcPr>
          <w:p>
            <w:pPr>
              <w:snapToGrid w:val="0"/>
              <w:spacing w:line="240" w:lineRule="atLeast"/>
              <w:jc w:val="center"/>
              <w:rPr>
                <w:rFonts w:ascii="宋体" w:hAnsi="宋体"/>
              </w:rPr>
            </w:pPr>
            <w:r>
              <w:rPr>
                <w:rFonts w:hint="eastAsia" w:ascii="宋体" w:hAnsi="宋体"/>
              </w:rPr>
              <w:t>安全生产负责人业绩     （1分）</w:t>
            </w:r>
          </w:p>
        </w:tc>
        <w:tc>
          <w:tcPr>
            <w:tcW w:w="6359" w:type="dxa"/>
            <w:vAlign w:val="center"/>
          </w:tcPr>
          <w:p>
            <w:pPr>
              <w:snapToGrid w:val="0"/>
              <w:spacing w:line="240" w:lineRule="atLeast"/>
              <w:jc w:val="left"/>
              <w:rPr>
                <w:rFonts w:ascii="宋体" w:hAnsi="宋体"/>
              </w:rPr>
            </w:pPr>
            <w:r>
              <w:rPr>
                <w:rFonts w:hint="eastAsia" w:ascii="宋体" w:hAnsi="宋体"/>
              </w:rPr>
              <w:t>以安全生产负责人近 5 年完成的类似项目业绩每个 0.5 分。</w:t>
            </w:r>
          </w:p>
        </w:tc>
        <w:tc>
          <w:tcPr>
            <w:tcW w:w="851" w:type="dxa"/>
            <w:vAlign w:val="center"/>
          </w:tcPr>
          <w:p>
            <w:pPr>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51" w:type="dxa"/>
            <w:gridSpan w:val="3"/>
            <w:vAlign w:val="center"/>
          </w:tcPr>
          <w:p>
            <w:pPr>
              <w:snapToGrid w:val="0"/>
              <w:spacing w:line="240" w:lineRule="atLeast"/>
              <w:jc w:val="left"/>
              <w:rPr>
                <w:rFonts w:ascii="宋体" w:hAnsi="宋体"/>
              </w:rPr>
            </w:pPr>
            <w:r>
              <w:rPr>
                <w:rFonts w:hint="eastAsia" w:ascii="宋体" w:hAnsi="宋体"/>
              </w:rPr>
              <w:t>以上业绩应以合同及中标通知书原件为准，否则不得分。各项均可累计计分，计满为止。</w:t>
            </w:r>
          </w:p>
        </w:tc>
      </w:tr>
    </w:tbl>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（三）评委评审时按优、良、一般、差四个档次评审打分，各项分值分配按如下标准：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优：得分为该项分值的90%～100%；</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良：得分为该项分值的70%～89%；</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一般：得分为该项分值的60%～69%；</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差：得分为该项分值的40%～59%；</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如没有该项内容则不得分。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在统计投标人得分时，应去掉一个最高分和一个最低分，以算术平均值计入投标人总得分。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第二十二条  </w:t>
      </w:r>
      <w:r>
        <w:rPr>
          <w:rFonts w:hint="eastAsia" w:ascii="仿宋_GB2312" w:eastAsia="仿宋_GB2312"/>
          <w:color w:val="000000" w:themeColor="text1"/>
          <w:sz w:val="32"/>
          <w:szCs w:val="32"/>
          <w14:textFill>
            <w14:solidFill>
              <w14:schemeClr w14:val="tx1"/>
            </w14:solidFill>
          </w14:textFill>
        </w:rPr>
        <w:t>在评标过程中，评标委员会可以书面形式要求投标人对所提交的投标文件中不明确的内容进行书面澄清或说明。评标委员会不接受投标人主动提出的澄清、说明或补正。</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第二十三条  </w:t>
      </w:r>
      <w:r>
        <w:rPr>
          <w:rFonts w:hint="eastAsia" w:ascii="仿宋_GB2312" w:eastAsia="仿宋_GB2312"/>
          <w:color w:val="000000" w:themeColor="text1"/>
          <w:sz w:val="32"/>
          <w:szCs w:val="32"/>
          <w14:textFill>
            <w14:solidFill>
              <w14:schemeClr w14:val="tx1"/>
            </w14:solidFill>
          </w14:textFill>
        </w:rPr>
        <w:t>投标人的澄清、说明和补正不得改变投标文件的实质性内容。投标人的书面澄清、说明和补正属于投标文件的组成部分。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第二十四条  </w:t>
      </w:r>
      <w:r>
        <w:rPr>
          <w:rFonts w:hint="eastAsia" w:ascii="仿宋_GB2312" w:eastAsia="仿宋_GB2312"/>
          <w:color w:val="000000" w:themeColor="text1"/>
          <w:sz w:val="32"/>
          <w:szCs w:val="32"/>
          <w14:textFill>
            <w14:solidFill>
              <w14:schemeClr w14:val="tx1"/>
            </w14:solidFill>
          </w14:textFill>
        </w:rPr>
        <w:t>评标委员会对投标人提交的澄清、说明或补正有疑问的，可以要求投标人进一步澄清、说明或补正，以利于评标工作的有序开展。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第二十五条  </w:t>
      </w:r>
      <w:r>
        <w:rPr>
          <w:rFonts w:hint="eastAsia" w:ascii="仿宋_GB2312" w:eastAsia="仿宋_GB2312"/>
          <w:color w:val="000000" w:themeColor="text1"/>
          <w:sz w:val="32"/>
          <w:szCs w:val="32"/>
          <w14:textFill>
            <w14:solidFill>
              <w14:schemeClr w14:val="tx1"/>
            </w14:solidFill>
          </w14:textFill>
        </w:rPr>
        <w:t>在评标过程中，评标委员会发现投标人的报价明显低于其他投标报价，使得其投标报价可能低于其个别成本的，有可能影响质量或者不能诚信履约的，应当要求其在评标现场合理的时间内提供书面说明并提供相关证明材料。投标人不能合理说明或者不能提供相关证明材料的，评标委员会应当否决其投标。</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第二十六条  </w:t>
      </w:r>
      <w:r>
        <w:rPr>
          <w:rFonts w:hint="eastAsia" w:ascii="仿宋_GB2312" w:eastAsia="仿宋_GB2312"/>
          <w:color w:val="000000" w:themeColor="text1"/>
          <w:sz w:val="32"/>
          <w:szCs w:val="32"/>
          <w14:textFill>
            <w14:solidFill>
              <w14:schemeClr w14:val="tx1"/>
            </w14:solidFill>
          </w14:textFill>
        </w:rPr>
        <w:t>评标委员会完成投标人综合分值计算统计后，应将投标人按得分高低排序。</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第二十七条  </w:t>
      </w:r>
      <w:r>
        <w:rPr>
          <w:rFonts w:hint="eastAsia" w:ascii="仿宋_GB2312" w:eastAsia="仿宋_GB2312"/>
          <w:color w:val="000000" w:themeColor="text1"/>
          <w:sz w:val="32"/>
          <w:szCs w:val="32"/>
          <w14:textFill>
            <w14:solidFill>
              <w14:schemeClr w14:val="tx1"/>
            </w14:solidFill>
          </w14:textFill>
        </w:rPr>
        <w:t>评标委员会完成评标后，应当向招标人提出书面评标报告。评标委员会全体成员应当在评标报告上签字。评标委员会成员对评标报告有不同意见的，采取少数服从多数的原则形成评标报告。</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第二十八条  </w:t>
      </w:r>
      <w:r>
        <w:rPr>
          <w:rFonts w:hint="eastAsia" w:ascii="仿宋_GB2312" w:eastAsia="仿宋_GB2312"/>
          <w:color w:val="000000" w:themeColor="text1"/>
          <w:sz w:val="32"/>
          <w:szCs w:val="32"/>
          <w14:textFill>
            <w14:solidFill>
              <w14:schemeClr w14:val="tx1"/>
            </w14:solidFill>
          </w14:textFill>
        </w:rPr>
        <w:t>工程总承包定标，招标人可授权评标委员会确定中标人也可采用评定分离方法确定中标人。</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招标人授权评标委员会确定中标人时，评标委员会必须按照中标候选人得分顺序，选择得分排名第一的中标候选人为中标人。</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人采用评定分离方法确定中标人时，评标委员会对投标文件的报价、资信、业绩、质量、安全、工期、造价、节约能源和生态环境保护管理等工程总承包综合管理能力等因素提供咨询建议，按照得分顺序向招标人推荐前3名为中标候选人，被推荐的候选人排名不分先后。由招标人按照工程建设项目的需要，择优确定中标人。招标人不得将投标人所在地域、所有制形式、资质等级作为确定中标人的前置条件。</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附  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第二十九条  </w:t>
      </w:r>
      <w:r>
        <w:rPr>
          <w:rFonts w:hint="eastAsia" w:ascii="仿宋_GB2312" w:eastAsia="仿宋_GB2312"/>
          <w:color w:val="000000" w:themeColor="text1"/>
          <w:sz w:val="32"/>
          <w:szCs w:val="32"/>
          <w14:textFill>
            <w14:solidFill>
              <w14:schemeClr w14:val="tx1"/>
            </w14:solidFill>
          </w14:textFill>
        </w:rPr>
        <w:t>本办法由甘肃省住房和城乡建设厅解释。</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第三十条  </w:t>
      </w:r>
      <w:r>
        <w:rPr>
          <w:rFonts w:hint="eastAsia" w:ascii="仿宋_GB2312" w:eastAsia="仿宋_GB2312"/>
          <w:color w:val="000000" w:themeColor="text1"/>
          <w:sz w:val="32"/>
          <w:szCs w:val="32"/>
          <w14:textFill>
            <w14:solidFill>
              <w14:schemeClr w14:val="tx1"/>
            </w14:solidFill>
          </w14:textFill>
        </w:rPr>
        <w:t>本办法自2020年4月</w:t>
      </w: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日起施行，有效期</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xml:space="preserve">年。  </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rPr>
          <w:rFonts w:hint="eastAsia" w:ascii="仿宋_GB2312" w:eastAsia="仿宋_GB2312"/>
          <w:color w:val="000000" w:themeColor="text1"/>
          <w:sz w:val="32"/>
          <w:szCs w:val="32"/>
          <w14:textFill>
            <w14:solidFill>
              <w14:schemeClr w14:val="tx1"/>
            </w14:solidFill>
          </w14:textFill>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
      <w:pPr>
        <w:rPr>
          <w:rFonts w:hint="eastAsia"/>
        </w:rPr>
      </w:pPr>
    </w:p>
    <w:p>
      <w:pPr>
        <w:adjustRightInd w:val="0"/>
        <w:snapToGrid w:val="0"/>
        <w:spacing w:line="580" w:lineRule="atLeast"/>
        <w:rPr>
          <w:rFonts w:hint="eastAsia"/>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85090</wp:posOffset>
                </wp:positionV>
                <wp:extent cx="5715000" cy="0"/>
                <wp:effectExtent l="8255" t="8255" r="10795" b="1079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9pt;margin-top:6.7pt;height:0pt;width:450pt;z-index:251659264;mso-width-relative:page;mso-height-relative:page;" filled="f" stroked="t" coordsize="21600,21600" o:gfxdata="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J8GEtcAAAAJAQAADwAAAAAAAAABACAAAAAiAAAAZHJzL2Rvd25y&#10;ZXYueG1sUEsBAhQAFAAAAAgAh07iQOjhzObGAQAAXQMAAA4AAAAAAAAAAQAgAAAAJgEAAGRycy9l&#10;Mm9Eb2MueG1sUEsFBgAAAAAGAAYAWQEAAF4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435610</wp:posOffset>
                </wp:positionV>
                <wp:extent cx="5715000" cy="0"/>
                <wp:effectExtent l="8255" t="6350" r="10795" b="127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9pt;margin-top:34.3pt;height:0pt;width:450pt;z-index:251660288;mso-width-relative:page;mso-height-relative:page;" filled="f" stroked="t" coordsize="21600,21600" o:gfxdata="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RChc1gAAAAkBAAAPAAAAAAAAAAEAIAAAACIAAABkcnMvZG93bnJl&#10;di54bWxQSwECFAAUAAAACACHTuJArvTWZ8YBAABdAwAADgAAAAAAAAABACAAAAAlAQAAZHJzL2Uy&#10;b0RvYy54bWxQSwUGAAAAAAYABgBZAQAAXQUAAAAA&#10;">
                <v:fill on="f" focussize="0,0"/>
                <v:stroke weight="1pt" color="#000000" joinstyle="round"/>
                <v:imagedata o:title=""/>
                <o:lock v:ext="edit" aspectratio="f"/>
              </v:line>
            </w:pict>
          </mc:Fallback>
        </mc:AlternateContent>
      </w:r>
      <w:r>
        <w:rPr>
          <w:rFonts w:hint="eastAsia" w:ascii="仿宋_GB2312" w:eastAsia="仿宋_GB2312"/>
          <w:sz w:val="28"/>
          <w:szCs w:val="28"/>
        </w:rPr>
        <w:t>甘肃省住房和城乡建设厅办公室             2020年</w:t>
      </w:r>
      <w:r>
        <w:rPr>
          <w:rFonts w:ascii="仿宋_GB2312" w:eastAsia="仿宋_GB2312"/>
          <w:sz w:val="28"/>
          <w:szCs w:val="28"/>
        </w:rPr>
        <w:t>4</w:t>
      </w:r>
      <w:r>
        <w:rPr>
          <w:rFonts w:hint="eastAsia" w:ascii="仿宋_GB2312" w:eastAsia="仿宋_GB2312"/>
          <w:sz w:val="28"/>
          <w:szCs w:val="28"/>
        </w:rPr>
        <w:t>月</w:t>
      </w:r>
      <w:r>
        <w:rPr>
          <w:rFonts w:ascii="仿宋_GB2312" w:eastAsia="仿宋_GB2312"/>
          <w:sz w:val="28"/>
          <w:szCs w:val="28"/>
        </w:rPr>
        <w:t>20</w:t>
      </w:r>
      <w:r>
        <w:rPr>
          <w:rFonts w:hint="eastAsia" w:ascii="仿宋_GB2312" w:eastAsia="仿宋_GB2312"/>
          <w:sz w:val="28"/>
          <w:szCs w:val="28"/>
        </w:rPr>
        <w:t>日印发</w:t>
      </w:r>
    </w:p>
    <w:sectPr>
      <w:footerReference r:id="rId3" w:type="default"/>
      <w:footerReference r:id="rId4" w:type="even"/>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7905528"/>
      <w:docPartObj>
        <w:docPartGallery w:val="AutoText"/>
      </w:docPartObj>
    </w:sdtPr>
    <w:sdtEndPr>
      <w:rPr>
        <w:rFonts w:ascii="宋体" w:hAnsi="宋体"/>
        <w:sz w:val="28"/>
        <w:szCs w:val="28"/>
      </w:rPr>
    </w:sdtEndPr>
    <w:sdt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355629809"/>
      <w:docPartObj>
        <w:docPartGallery w:val="AutoText"/>
      </w:docPartObj>
    </w:sdtPr>
    <w:sdtEndPr>
      <w:rPr>
        <w:rFonts w:ascii="宋体" w:hAnsi="宋体"/>
        <w:sz w:val="28"/>
        <w:szCs w:val="28"/>
      </w:rPr>
    </w:sdtEndPr>
    <w:sdtContent>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76"/>
    <w:rsid w:val="0000416F"/>
    <w:rsid w:val="00004587"/>
    <w:rsid w:val="00004A90"/>
    <w:rsid w:val="00005E97"/>
    <w:rsid w:val="000069E0"/>
    <w:rsid w:val="00007CCD"/>
    <w:rsid w:val="000108A1"/>
    <w:rsid w:val="00016C32"/>
    <w:rsid w:val="00022EFE"/>
    <w:rsid w:val="000266FA"/>
    <w:rsid w:val="000317AA"/>
    <w:rsid w:val="00037811"/>
    <w:rsid w:val="00042D43"/>
    <w:rsid w:val="00042F55"/>
    <w:rsid w:val="0005241E"/>
    <w:rsid w:val="00052503"/>
    <w:rsid w:val="000644F8"/>
    <w:rsid w:val="00064CB6"/>
    <w:rsid w:val="00072ED6"/>
    <w:rsid w:val="000734F4"/>
    <w:rsid w:val="00076AC4"/>
    <w:rsid w:val="00082761"/>
    <w:rsid w:val="00095C2D"/>
    <w:rsid w:val="00097112"/>
    <w:rsid w:val="0009778B"/>
    <w:rsid w:val="000A1330"/>
    <w:rsid w:val="000A3A05"/>
    <w:rsid w:val="000A41D2"/>
    <w:rsid w:val="000A5833"/>
    <w:rsid w:val="000B578A"/>
    <w:rsid w:val="000B7CF1"/>
    <w:rsid w:val="000C1FBF"/>
    <w:rsid w:val="000C3D53"/>
    <w:rsid w:val="000C4258"/>
    <w:rsid w:val="000D44AF"/>
    <w:rsid w:val="000E2D93"/>
    <w:rsid w:val="000E4C95"/>
    <w:rsid w:val="000E5008"/>
    <w:rsid w:val="000E52D1"/>
    <w:rsid w:val="000E56E4"/>
    <w:rsid w:val="000E71FB"/>
    <w:rsid w:val="000F68D6"/>
    <w:rsid w:val="000F7D52"/>
    <w:rsid w:val="0010346F"/>
    <w:rsid w:val="001053AA"/>
    <w:rsid w:val="00114BC9"/>
    <w:rsid w:val="001176B6"/>
    <w:rsid w:val="00117C79"/>
    <w:rsid w:val="00121A3C"/>
    <w:rsid w:val="001225F4"/>
    <w:rsid w:val="00124A4A"/>
    <w:rsid w:val="00125475"/>
    <w:rsid w:val="00126C25"/>
    <w:rsid w:val="00134501"/>
    <w:rsid w:val="00134FE7"/>
    <w:rsid w:val="0014109F"/>
    <w:rsid w:val="00143958"/>
    <w:rsid w:val="00143A61"/>
    <w:rsid w:val="00143D8D"/>
    <w:rsid w:val="00143E2E"/>
    <w:rsid w:val="00146329"/>
    <w:rsid w:val="0015009B"/>
    <w:rsid w:val="00151484"/>
    <w:rsid w:val="00151901"/>
    <w:rsid w:val="001544BC"/>
    <w:rsid w:val="00172861"/>
    <w:rsid w:val="0017372E"/>
    <w:rsid w:val="00180E72"/>
    <w:rsid w:val="00180EE8"/>
    <w:rsid w:val="00181461"/>
    <w:rsid w:val="00183CA8"/>
    <w:rsid w:val="00183D09"/>
    <w:rsid w:val="00183DBB"/>
    <w:rsid w:val="00186B1B"/>
    <w:rsid w:val="00187041"/>
    <w:rsid w:val="001871E3"/>
    <w:rsid w:val="00191311"/>
    <w:rsid w:val="00192830"/>
    <w:rsid w:val="001979AC"/>
    <w:rsid w:val="001A299F"/>
    <w:rsid w:val="001A676B"/>
    <w:rsid w:val="001A6A89"/>
    <w:rsid w:val="001B3952"/>
    <w:rsid w:val="001C226C"/>
    <w:rsid w:val="001C2567"/>
    <w:rsid w:val="001D0AF8"/>
    <w:rsid w:val="001D1A14"/>
    <w:rsid w:val="001D5C00"/>
    <w:rsid w:val="001F4FA0"/>
    <w:rsid w:val="001F63E1"/>
    <w:rsid w:val="001F6A00"/>
    <w:rsid w:val="001F6BA9"/>
    <w:rsid w:val="0020195E"/>
    <w:rsid w:val="0020334D"/>
    <w:rsid w:val="00204696"/>
    <w:rsid w:val="002107EA"/>
    <w:rsid w:val="00211EDC"/>
    <w:rsid w:val="00212F27"/>
    <w:rsid w:val="00217443"/>
    <w:rsid w:val="0023050D"/>
    <w:rsid w:val="00230AE4"/>
    <w:rsid w:val="002316F8"/>
    <w:rsid w:val="00236B13"/>
    <w:rsid w:val="00237666"/>
    <w:rsid w:val="002429A7"/>
    <w:rsid w:val="0024363B"/>
    <w:rsid w:val="00247E36"/>
    <w:rsid w:val="00251029"/>
    <w:rsid w:val="0025109B"/>
    <w:rsid w:val="002512CB"/>
    <w:rsid w:val="002542FE"/>
    <w:rsid w:val="0026032E"/>
    <w:rsid w:val="00260E5B"/>
    <w:rsid w:val="00261A90"/>
    <w:rsid w:val="002715A2"/>
    <w:rsid w:val="00274516"/>
    <w:rsid w:val="00285CCD"/>
    <w:rsid w:val="00292533"/>
    <w:rsid w:val="00293D61"/>
    <w:rsid w:val="002A33AE"/>
    <w:rsid w:val="002A4782"/>
    <w:rsid w:val="002B1334"/>
    <w:rsid w:val="002B26CD"/>
    <w:rsid w:val="002C6985"/>
    <w:rsid w:val="002D01B7"/>
    <w:rsid w:val="002D2E76"/>
    <w:rsid w:val="002E0B65"/>
    <w:rsid w:val="002E26AE"/>
    <w:rsid w:val="002E4007"/>
    <w:rsid w:val="002E4155"/>
    <w:rsid w:val="002F0A68"/>
    <w:rsid w:val="002F52D8"/>
    <w:rsid w:val="002F6176"/>
    <w:rsid w:val="002F7427"/>
    <w:rsid w:val="00301311"/>
    <w:rsid w:val="00304FC2"/>
    <w:rsid w:val="00307A8C"/>
    <w:rsid w:val="00321D52"/>
    <w:rsid w:val="0033002A"/>
    <w:rsid w:val="003336E3"/>
    <w:rsid w:val="00333AAB"/>
    <w:rsid w:val="00334B74"/>
    <w:rsid w:val="003565CA"/>
    <w:rsid w:val="0036768E"/>
    <w:rsid w:val="0037048D"/>
    <w:rsid w:val="0037223B"/>
    <w:rsid w:val="0037673C"/>
    <w:rsid w:val="00376A4B"/>
    <w:rsid w:val="003866BC"/>
    <w:rsid w:val="003871CA"/>
    <w:rsid w:val="00392B16"/>
    <w:rsid w:val="00394134"/>
    <w:rsid w:val="003A0024"/>
    <w:rsid w:val="003A3989"/>
    <w:rsid w:val="003A49AB"/>
    <w:rsid w:val="003A4DC4"/>
    <w:rsid w:val="003B0969"/>
    <w:rsid w:val="003B176F"/>
    <w:rsid w:val="003B2C70"/>
    <w:rsid w:val="003C0E19"/>
    <w:rsid w:val="003C1ED3"/>
    <w:rsid w:val="003C3608"/>
    <w:rsid w:val="003C4A99"/>
    <w:rsid w:val="003D4C92"/>
    <w:rsid w:val="003D71E3"/>
    <w:rsid w:val="003E0B0E"/>
    <w:rsid w:val="003E225C"/>
    <w:rsid w:val="003E4C6D"/>
    <w:rsid w:val="003E5540"/>
    <w:rsid w:val="003F05AD"/>
    <w:rsid w:val="003F2DA1"/>
    <w:rsid w:val="003F3E7B"/>
    <w:rsid w:val="003F446C"/>
    <w:rsid w:val="003F45E6"/>
    <w:rsid w:val="003F5468"/>
    <w:rsid w:val="00406307"/>
    <w:rsid w:val="0041108E"/>
    <w:rsid w:val="00411136"/>
    <w:rsid w:val="00411475"/>
    <w:rsid w:val="00416AB1"/>
    <w:rsid w:val="00417C17"/>
    <w:rsid w:val="00417E2C"/>
    <w:rsid w:val="004215E6"/>
    <w:rsid w:val="00423C27"/>
    <w:rsid w:val="004245C2"/>
    <w:rsid w:val="00424E7B"/>
    <w:rsid w:val="004266C8"/>
    <w:rsid w:val="00430E6A"/>
    <w:rsid w:val="004365CC"/>
    <w:rsid w:val="004464E8"/>
    <w:rsid w:val="00451031"/>
    <w:rsid w:val="004519F5"/>
    <w:rsid w:val="00452D72"/>
    <w:rsid w:val="00455392"/>
    <w:rsid w:val="004565B1"/>
    <w:rsid w:val="004605A3"/>
    <w:rsid w:val="00465711"/>
    <w:rsid w:val="004667F2"/>
    <w:rsid w:val="00466C5D"/>
    <w:rsid w:val="00467A4D"/>
    <w:rsid w:val="004752F3"/>
    <w:rsid w:val="004758BF"/>
    <w:rsid w:val="00476EDD"/>
    <w:rsid w:val="00481CD7"/>
    <w:rsid w:val="00482ACC"/>
    <w:rsid w:val="0048341F"/>
    <w:rsid w:val="0049201A"/>
    <w:rsid w:val="004A0553"/>
    <w:rsid w:val="004A35F8"/>
    <w:rsid w:val="004A51F5"/>
    <w:rsid w:val="004A6B92"/>
    <w:rsid w:val="004B0C60"/>
    <w:rsid w:val="004B7573"/>
    <w:rsid w:val="004C0411"/>
    <w:rsid w:val="004C7F7A"/>
    <w:rsid w:val="004D0788"/>
    <w:rsid w:val="004D0DE5"/>
    <w:rsid w:val="004D5AB8"/>
    <w:rsid w:val="004D746B"/>
    <w:rsid w:val="004E49A9"/>
    <w:rsid w:val="004E5A97"/>
    <w:rsid w:val="004F1DA4"/>
    <w:rsid w:val="004F25DE"/>
    <w:rsid w:val="004F36D0"/>
    <w:rsid w:val="00504569"/>
    <w:rsid w:val="005061C0"/>
    <w:rsid w:val="00510CB8"/>
    <w:rsid w:val="00517746"/>
    <w:rsid w:val="00524347"/>
    <w:rsid w:val="005250C6"/>
    <w:rsid w:val="0053052A"/>
    <w:rsid w:val="00530B36"/>
    <w:rsid w:val="00531034"/>
    <w:rsid w:val="00534C38"/>
    <w:rsid w:val="00535147"/>
    <w:rsid w:val="00540B97"/>
    <w:rsid w:val="005418B6"/>
    <w:rsid w:val="00550E51"/>
    <w:rsid w:val="00554037"/>
    <w:rsid w:val="00554B3E"/>
    <w:rsid w:val="00557AE0"/>
    <w:rsid w:val="005632B7"/>
    <w:rsid w:val="00574F70"/>
    <w:rsid w:val="00575E65"/>
    <w:rsid w:val="00577754"/>
    <w:rsid w:val="00582764"/>
    <w:rsid w:val="00586774"/>
    <w:rsid w:val="00587B97"/>
    <w:rsid w:val="005901E7"/>
    <w:rsid w:val="00594CCA"/>
    <w:rsid w:val="005966C8"/>
    <w:rsid w:val="00597A55"/>
    <w:rsid w:val="005A787D"/>
    <w:rsid w:val="005B63BC"/>
    <w:rsid w:val="005B738D"/>
    <w:rsid w:val="005C0234"/>
    <w:rsid w:val="005C4DD8"/>
    <w:rsid w:val="005C6DDC"/>
    <w:rsid w:val="005C735E"/>
    <w:rsid w:val="005D1297"/>
    <w:rsid w:val="005D1FB7"/>
    <w:rsid w:val="005D22CF"/>
    <w:rsid w:val="005D6D05"/>
    <w:rsid w:val="005E1162"/>
    <w:rsid w:val="005E5524"/>
    <w:rsid w:val="005E639D"/>
    <w:rsid w:val="005E7114"/>
    <w:rsid w:val="005E7C74"/>
    <w:rsid w:val="005F09D6"/>
    <w:rsid w:val="005F344B"/>
    <w:rsid w:val="005F35A9"/>
    <w:rsid w:val="005F65E4"/>
    <w:rsid w:val="00600391"/>
    <w:rsid w:val="00600AD5"/>
    <w:rsid w:val="00603390"/>
    <w:rsid w:val="0060535D"/>
    <w:rsid w:val="00607EFD"/>
    <w:rsid w:val="0061263A"/>
    <w:rsid w:val="00613793"/>
    <w:rsid w:val="0061596A"/>
    <w:rsid w:val="00615E56"/>
    <w:rsid w:val="00620034"/>
    <w:rsid w:val="0062108E"/>
    <w:rsid w:val="0062272E"/>
    <w:rsid w:val="00634073"/>
    <w:rsid w:val="00635325"/>
    <w:rsid w:val="006377EE"/>
    <w:rsid w:val="00637D4E"/>
    <w:rsid w:val="00640685"/>
    <w:rsid w:val="0064166A"/>
    <w:rsid w:val="00645413"/>
    <w:rsid w:val="006462A6"/>
    <w:rsid w:val="0064769D"/>
    <w:rsid w:val="00650C45"/>
    <w:rsid w:val="006547E9"/>
    <w:rsid w:val="006551A8"/>
    <w:rsid w:val="006555FA"/>
    <w:rsid w:val="0065612D"/>
    <w:rsid w:val="0065721B"/>
    <w:rsid w:val="0066058D"/>
    <w:rsid w:val="00663419"/>
    <w:rsid w:val="00665E90"/>
    <w:rsid w:val="00666B47"/>
    <w:rsid w:val="00671844"/>
    <w:rsid w:val="00672911"/>
    <w:rsid w:val="00673D10"/>
    <w:rsid w:val="0067606B"/>
    <w:rsid w:val="00676F7A"/>
    <w:rsid w:val="00681B40"/>
    <w:rsid w:val="00682921"/>
    <w:rsid w:val="00683447"/>
    <w:rsid w:val="00687F8F"/>
    <w:rsid w:val="00692BF2"/>
    <w:rsid w:val="0069678C"/>
    <w:rsid w:val="006A2E63"/>
    <w:rsid w:val="006A6481"/>
    <w:rsid w:val="006B10A2"/>
    <w:rsid w:val="006B2804"/>
    <w:rsid w:val="006B3D9E"/>
    <w:rsid w:val="006B50BA"/>
    <w:rsid w:val="006B605C"/>
    <w:rsid w:val="006B6A37"/>
    <w:rsid w:val="006C01E6"/>
    <w:rsid w:val="006C26DE"/>
    <w:rsid w:val="006C726C"/>
    <w:rsid w:val="006D65E3"/>
    <w:rsid w:val="006D6681"/>
    <w:rsid w:val="006E149B"/>
    <w:rsid w:val="006E1B55"/>
    <w:rsid w:val="006E23C1"/>
    <w:rsid w:val="006E3E93"/>
    <w:rsid w:val="00700BF6"/>
    <w:rsid w:val="00703EED"/>
    <w:rsid w:val="0071248A"/>
    <w:rsid w:val="0071291E"/>
    <w:rsid w:val="00714E9D"/>
    <w:rsid w:val="0071698D"/>
    <w:rsid w:val="00721BEE"/>
    <w:rsid w:val="00723721"/>
    <w:rsid w:val="0072383B"/>
    <w:rsid w:val="007243F5"/>
    <w:rsid w:val="00737B91"/>
    <w:rsid w:val="00737BC6"/>
    <w:rsid w:val="00737FF7"/>
    <w:rsid w:val="00741094"/>
    <w:rsid w:val="00761857"/>
    <w:rsid w:val="00762055"/>
    <w:rsid w:val="00762111"/>
    <w:rsid w:val="007710D1"/>
    <w:rsid w:val="0078287F"/>
    <w:rsid w:val="00785ED4"/>
    <w:rsid w:val="00790AB7"/>
    <w:rsid w:val="0079384E"/>
    <w:rsid w:val="00794C67"/>
    <w:rsid w:val="0079645B"/>
    <w:rsid w:val="00796713"/>
    <w:rsid w:val="00797406"/>
    <w:rsid w:val="00797B44"/>
    <w:rsid w:val="007A24FC"/>
    <w:rsid w:val="007A30BA"/>
    <w:rsid w:val="007B00FA"/>
    <w:rsid w:val="007B1153"/>
    <w:rsid w:val="007B28C6"/>
    <w:rsid w:val="007B5B6D"/>
    <w:rsid w:val="007D031D"/>
    <w:rsid w:val="007D17F1"/>
    <w:rsid w:val="007E0014"/>
    <w:rsid w:val="007E07CD"/>
    <w:rsid w:val="007E07F0"/>
    <w:rsid w:val="007E1378"/>
    <w:rsid w:val="007E204E"/>
    <w:rsid w:val="007E3BF4"/>
    <w:rsid w:val="007E3DE0"/>
    <w:rsid w:val="007E41AA"/>
    <w:rsid w:val="007F25D9"/>
    <w:rsid w:val="007F5C2E"/>
    <w:rsid w:val="0080069A"/>
    <w:rsid w:val="00801F19"/>
    <w:rsid w:val="00802AC2"/>
    <w:rsid w:val="0080383E"/>
    <w:rsid w:val="00803A4F"/>
    <w:rsid w:val="00821CEB"/>
    <w:rsid w:val="00826F81"/>
    <w:rsid w:val="00830509"/>
    <w:rsid w:val="00835E24"/>
    <w:rsid w:val="00841271"/>
    <w:rsid w:val="00841EB7"/>
    <w:rsid w:val="00844157"/>
    <w:rsid w:val="00847EB0"/>
    <w:rsid w:val="00853211"/>
    <w:rsid w:val="0085342B"/>
    <w:rsid w:val="00857360"/>
    <w:rsid w:val="00861180"/>
    <w:rsid w:val="00861735"/>
    <w:rsid w:val="0086447B"/>
    <w:rsid w:val="00873B5A"/>
    <w:rsid w:val="0087466C"/>
    <w:rsid w:val="00875CC6"/>
    <w:rsid w:val="00875F6E"/>
    <w:rsid w:val="008774D0"/>
    <w:rsid w:val="008776A9"/>
    <w:rsid w:val="00881208"/>
    <w:rsid w:val="00884454"/>
    <w:rsid w:val="00886C8D"/>
    <w:rsid w:val="008A79CC"/>
    <w:rsid w:val="008A7EE6"/>
    <w:rsid w:val="008B435F"/>
    <w:rsid w:val="008B4E82"/>
    <w:rsid w:val="008B524D"/>
    <w:rsid w:val="008C1C05"/>
    <w:rsid w:val="008C3828"/>
    <w:rsid w:val="008C53E5"/>
    <w:rsid w:val="008C60DD"/>
    <w:rsid w:val="008C6851"/>
    <w:rsid w:val="008C73D7"/>
    <w:rsid w:val="008D01A3"/>
    <w:rsid w:val="008E000B"/>
    <w:rsid w:val="008E432A"/>
    <w:rsid w:val="008E4415"/>
    <w:rsid w:val="008F2817"/>
    <w:rsid w:val="008F354E"/>
    <w:rsid w:val="008F53D9"/>
    <w:rsid w:val="008F60FE"/>
    <w:rsid w:val="00900DEF"/>
    <w:rsid w:val="009045A4"/>
    <w:rsid w:val="00910A8B"/>
    <w:rsid w:val="00911539"/>
    <w:rsid w:val="00913D79"/>
    <w:rsid w:val="00913F62"/>
    <w:rsid w:val="0092182F"/>
    <w:rsid w:val="00921B9C"/>
    <w:rsid w:val="00923DC9"/>
    <w:rsid w:val="00923E21"/>
    <w:rsid w:val="00924289"/>
    <w:rsid w:val="00924665"/>
    <w:rsid w:val="00925176"/>
    <w:rsid w:val="0092582B"/>
    <w:rsid w:val="00930023"/>
    <w:rsid w:val="00930509"/>
    <w:rsid w:val="009314E8"/>
    <w:rsid w:val="00934D05"/>
    <w:rsid w:val="00934E87"/>
    <w:rsid w:val="00944C32"/>
    <w:rsid w:val="0095738E"/>
    <w:rsid w:val="009657E2"/>
    <w:rsid w:val="00972168"/>
    <w:rsid w:val="00974146"/>
    <w:rsid w:val="009759F9"/>
    <w:rsid w:val="00982115"/>
    <w:rsid w:val="009869DE"/>
    <w:rsid w:val="009907C6"/>
    <w:rsid w:val="009934C2"/>
    <w:rsid w:val="00994918"/>
    <w:rsid w:val="00995432"/>
    <w:rsid w:val="009A0260"/>
    <w:rsid w:val="009A1AC8"/>
    <w:rsid w:val="009A3EA4"/>
    <w:rsid w:val="009A546C"/>
    <w:rsid w:val="009A5CE5"/>
    <w:rsid w:val="009A655C"/>
    <w:rsid w:val="009B193A"/>
    <w:rsid w:val="009B1D5B"/>
    <w:rsid w:val="009B2167"/>
    <w:rsid w:val="009B46FD"/>
    <w:rsid w:val="009B6F1B"/>
    <w:rsid w:val="009C1D19"/>
    <w:rsid w:val="009C1DC8"/>
    <w:rsid w:val="009C303E"/>
    <w:rsid w:val="009C5F10"/>
    <w:rsid w:val="009E412B"/>
    <w:rsid w:val="009E5162"/>
    <w:rsid w:val="009E54DD"/>
    <w:rsid w:val="009F291C"/>
    <w:rsid w:val="009F29C6"/>
    <w:rsid w:val="009F3389"/>
    <w:rsid w:val="009F5DAC"/>
    <w:rsid w:val="009F7A38"/>
    <w:rsid w:val="00A005E5"/>
    <w:rsid w:val="00A04F83"/>
    <w:rsid w:val="00A169C8"/>
    <w:rsid w:val="00A24CB8"/>
    <w:rsid w:val="00A277A3"/>
    <w:rsid w:val="00A30037"/>
    <w:rsid w:val="00A35118"/>
    <w:rsid w:val="00A40DF2"/>
    <w:rsid w:val="00A53C7A"/>
    <w:rsid w:val="00A56227"/>
    <w:rsid w:val="00A572F1"/>
    <w:rsid w:val="00A57BE8"/>
    <w:rsid w:val="00A60712"/>
    <w:rsid w:val="00A608F2"/>
    <w:rsid w:val="00A6250B"/>
    <w:rsid w:val="00A6481E"/>
    <w:rsid w:val="00A72F2F"/>
    <w:rsid w:val="00A77D6F"/>
    <w:rsid w:val="00A81736"/>
    <w:rsid w:val="00A81759"/>
    <w:rsid w:val="00A81E53"/>
    <w:rsid w:val="00A8203A"/>
    <w:rsid w:val="00A86214"/>
    <w:rsid w:val="00A873D3"/>
    <w:rsid w:val="00A900D6"/>
    <w:rsid w:val="00A931FC"/>
    <w:rsid w:val="00A93B31"/>
    <w:rsid w:val="00A93E4E"/>
    <w:rsid w:val="00A93F27"/>
    <w:rsid w:val="00A95F3E"/>
    <w:rsid w:val="00A969D9"/>
    <w:rsid w:val="00AA2BEA"/>
    <w:rsid w:val="00AA5E67"/>
    <w:rsid w:val="00AA6886"/>
    <w:rsid w:val="00AB1787"/>
    <w:rsid w:val="00AB4889"/>
    <w:rsid w:val="00AC394A"/>
    <w:rsid w:val="00AC5D9A"/>
    <w:rsid w:val="00AC711D"/>
    <w:rsid w:val="00AD326E"/>
    <w:rsid w:val="00AD3ADE"/>
    <w:rsid w:val="00AE080A"/>
    <w:rsid w:val="00AE0B2F"/>
    <w:rsid w:val="00AE0DFF"/>
    <w:rsid w:val="00AE605F"/>
    <w:rsid w:val="00B003E4"/>
    <w:rsid w:val="00B00E28"/>
    <w:rsid w:val="00B03425"/>
    <w:rsid w:val="00B04D01"/>
    <w:rsid w:val="00B05289"/>
    <w:rsid w:val="00B06D57"/>
    <w:rsid w:val="00B1091F"/>
    <w:rsid w:val="00B11B3A"/>
    <w:rsid w:val="00B12709"/>
    <w:rsid w:val="00B13135"/>
    <w:rsid w:val="00B150F0"/>
    <w:rsid w:val="00B15872"/>
    <w:rsid w:val="00B1723A"/>
    <w:rsid w:val="00B200EB"/>
    <w:rsid w:val="00B25C45"/>
    <w:rsid w:val="00B363A7"/>
    <w:rsid w:val="00B3728A"/>
    <w:rsid w:val="00B42822"/>
    <w:rsid w:val="00B42940"/>
    <w:rsid w:val="00B4354D"/>
    <w:rsid w:val="00B47465"/>
    <w:rsid w:val="00B528B8"/>
    <w:rsid w:val="00B5394E"/>
    <w:rsid w:val="00B650D3"/>
    <w:rsid w:val="00B66655"/>
    <w:rsid w:val="00B67545"/>
    <w:rsid w:val="00B728B1"/>
    <w:rsid w:val="00B75B93"/>
    <w:rsid w:val="00B869BD"/>
    <w:rsid w:val="00B90858"/>
    <w:rsid w:val="00B90D1A"/>
    <w:rsid w:val="00B91285"/>
    <w:rsid w:val="00B92B7F"/>
    <w:rsid w:val="00BA1A87"/>
    <w:rsid w:val="00BA3368"/>
    <w:rsid w:val="00BA76A4"/>
    <w:rsid w:val="00BB38E8"/>
    <w:rsid w:val="00BB4523"/>
    <w:rsid w:val="00BC2571"/>
    <w:rsid w:val="00BC6DCA"/>
    <w:rsid w:val="00BC71CD"/>
    <w:rsid w:val="00BC73C3"/>
    <w:rsid w:val="00BD0778"/>
    <w:rsid w:val="00BD302B"/>
    <w:rsid w:val="00BD4791"/>
    <w:rsid w:val="00BD6E60"/>
    <w:rsid w:val="00BE1419"/>
    <w:rsid w:val="00BE190F"/>
    <w:rsid w:val="00BE405B"/>
    <w:rsid w:val="00BE5F1C"/>
    <w:rsid w:val="00BE79F4"/>
    <w:rsid w:val="00BF5582"/>
    <w:rsid w:val="00BF6819"/>
    <w:rsid w:val="00BF70A8"/>
    <w:rsid w:val="00BF7B72"/>
    <w:rsid w:val="00C03985"/>
    <w:rsid w:val="00C04070"/>
    <w:rsid w:val="00C06FB1"/>
    <w:rsid w:val="00C10ED0"/>
    <w:rsid w:val="00C15D1D"/>
    <w:rsid w:val="00C224B1"/>
    <w:rsid w:val="00C247D6"/>
    <w:rsid w:val="00C275D6"/>
    <w:rsid w:val="00C360A5"/>
    <w:rsid w:val="00C44F3B"/>
    <w:rsid w:val="00C46618"/>
    <w:rsid w:val="00C5082B"/>
    <w:rsid w:val="00C53A11"/>
    <w:rsid w:val="00C556CA"/>
    <w:rsid w:val="00C57CEC"/>
    <w:rsid w:val="00C61EFB"/>
    <w:rsid w:val="00C6537E"/>
    <w:rsid w:val="00C66154"/>
    <w:rsid w:val="00C70636"/>
    <w:rsid w:val="00C766F6"/>
    <w:rsid w:val="00C76E37"/>
    <w:rsid w:val="00C817AA"/>
    <w:rsid w:val="00C82DF8"/>
    <w:rsid w:val="00C83404"/>
    <w:rsid w:val="00C84546"/>
    <w:rsid w:val="00C85676"/>
    <w:rsid w:val="00C90088"/>
    <w:rsid w:val="00C90C7A"/>
    <w:rsid w:val="00C90FA1"/>
    <w:rsid w:val="00C94A91"/>
    <w:rsid w:val="00C95760"/>
    <w:rsid w:val="00CA04B0"/>
    <w:rsid w:val="00CA141F"/>
    <w:rsid w:val="00CA1CB9"/>
    <w:rsid w:val="00CA40B1"/>
    <w:rsid w:val="00CA4B8B"/>
    <w:rsid w:val="00CA4E90"/>
    <w:rsid w:val="00CA5A70"/>
    <w:rsid w:val="00CA5FED"/>
    <w:rsid w:val="00CA7B45"/>
    <w:rsid w:val="00CA7E02"/>
    <w:rsid w:val="00CB296D"/>
    <w:rsid w:val="00CB4C46"/>
    <w:rsid w:val="00CB60D5"/>
    <w:rsid w:val="00CC0D3C"/>
    <w:rsid w:val="00CC42FB"/>
    <w:rsid w:val="00CC47DD"/>
    <w:rsid w:val="00CC4D44"/>
    <w:rsid w:val="00CD2121"/>
    <w:rsid w:val="00CD40B1"/>
    <w:rsid w:val="00CD7CB8"/>
    <w:rsid w:val="00CE0520"/>
    <w:rsid w:val="00CE2B9F"/>
    <w:rsid w:val="00CE34C8"/>
    <w:rsid w:val="00CF063C"/>
    <w:rsid w:val="00CF1AE1"/>
    <w:rsid w:val="00CF1F3E"/>
    <w:rsid w:val="00CF2C9C"/>
    <w:rsid w:val="00CF4DE7"/>
    <w:rsid w:val="00D00A80"/>
    <w:rsid w:val="00D054A1"/>
    <w:rsid w:val="00D06DB4"/>
    <w:rsid w:val="00D11E27"/>
    <w:rsid w:val="00D1321B"/>
    <w:rsid w:val="00D1433A"/>
    <w:rsid w:val="00D15050"/>
    <w:rsid w:val="00D208D8"/>
    <w:rsid w:val="00D2179C"/>
    <w:rsid w:val="00D238E6"/>
    <w:rsid w:val="00D26BF6"/>
    <w:rsid w:val="00D30709"/>
    <w:rsid w:val="00D31ABE"/>
    <w:rsid w:val="00D338EE"/>
    <w:rsid w:val="00D3560F"/>
    <w:rsid w:val="00D40763"/>
    <w:rsid w:val="00D4137A"/>
    <w:rsid w:val="00D415E8"/>
    <w:rsid w:val="00D42AFC"/>
    <w:rsid w:val="00D42F4F"/>
    <w:rsid w:val="00D45F11"/>
    <w:rsid w:val="00D52CC4"/>
    <w:rsid w:val="00D54334"/>
    <w:rsid w:val="00D61062"/>
    <w:rsid w:val="00D652D0"/>
    <w:rsid w:val="00D65D1D"/>
    <w:rsid w:val="00D67025"/>
    <w:rsid w:val="00D75177"/>
    <w:rsid w:val="00D833F4"/>
    <w:rsid w:val="00D85C13"/>
    <w:rsid w:val="00D93395"/>
    <w:rsid w:val="00D93FB8"/>
    <w:rsid w:val="00DA166A"/>
    <w:rsid w:val="00DA4812"/>
    <w:rsid w:val="00DA7E49"/>
    <w:rsid w:val="00DB0C4C"/>
    <w:rsid w:val="00DB4A22"/>
    <w:rsid w:val="00DB7449"/>
    <w:rsid w:val="00DC10F4"/>
    <w:rsid w:val="00DC1ACD"/>
    <w:rsid w:val="00DC29A4"/>
    <w:rsid w:val="00DC41AC"/>
    <w:rsid w:val="00DC5971"/>
    <w:rsid w:val="00DC6075"/>
    <w:rsid w:val="00DD219C"/>
    <w:rsid w:val="00DD2E76"/>
    <w:rsid w:val="00DD3F45"/>
    <w:rsid w:val="00DE182C"/>
    <w:rsid w:val="00DF284C"/>
    <w:rsid w:val="00DF334F"/>
    <w:rsid w:val="00DF3636"/>
    <w:rsid w:val="00DF7D6F"/>
    <w:rsid w:val="00E07140"/>
    <w:rsid w:val="00E11262"/>
    <w:rsid w:val="00E113E7"/>
    <w:rsid w:val="00E125B7"/>
    <w:rsid w:val="00E1308D"/>
    <w:rsid w:val="00E16DB7"/>
    <w:rsid w:val="00E1724F"/>
    <w:rsid w:val="00E2104F"/>
    <w:rsid w:val="00E22B48"/>
    <w:rsid w:val="00E24EDB"/>
    <w:rsid w:val="00E2667A"/>
    <w:rsid w:val="00E3055C"/>
    <w:rsid w:val="00E3543F"/>
    <w:rsid w:val="00E43958"/>
    <w:rsid w:val="00E43D9F"/>
    <w:rsid w:val="00E51EB1"/>
    <w:rsid w:val="00E54217"/>
    <w:rsid w:val="00E5502F"/>
    <w:rsid w:val="00E5658D"/>
    <w:rsid w:val="00E66673"/>
    <w:rsid w:val="00E66A57"/>
    <w:rsid w:val="00E671FC"/>
    <w:rsid w:val="00E675D4"/>
    <w:rsid w:val="00E70864"/>
    <w:rsid w:val="00E732A7"/>
    <w:rsid w:val="00E73F7E"/>
    <w:rsid w:val="00E811DF"/>
    <w:rsid w:val="00E83A6D"/>
    <w:rsid w:val="00E84036"/>
    <w:rsid w:val="00E93734"/>
    <w:rsid w:val="00EA04D0"/>
    <w:rsid w:val="00EA1147"/>
    <w:rsid w:val="00EA3C01"/>
    <w:rsid w:val="00EA7F20"/>
    <w:rsid w:val="00EB09F3"/>
    <w:rsid w:val="00EC117C"/>
    <w:rsid w:val="00ED249F"/>
    <w:rsid w:val="00EE0838"/>
    <w:rsid w:val="00EE1191"/>
    <w:rsid w:val="00EE3764"/>
    <w:rsid w:val="00EE3CDB"/>
    <w:rsid w:val="00EE6D18"/>
    <w:rsid w:val="00EE7BAE"/>
    <w:rsid w:val="00EF4824"/>
    <w:rsid w:val="00F00A69"/>
    <w:rsid w:val="00F01E36"/>
    <w:rsid w:val="00F02258"/>
    <w:rsid w:val="00F11DFF"/>
    <w:rsid w:val="00F14FC8"/>
    <w:rsid w:val="00F23EFF"/>
    <w:rsid w:val="00F24ADA"/>
    <w:rsid w:val="00F30856"/>
    <w:rsid w:val="00F33B81"/>
    <w:rsid w:val="00F34DA1"/>
    <w:rsid w:val="00F35B9A"/>
    <w:rsid w:val="00F43180"/>
    <w:rsid w:val="00F43922"/>
    <w:rsid w:val="00F53B74"/>
    <w:rsid w:val="00F54F19"/>
    <w:rsid w:val="00F5582B"/>
    <w:rsid w:val="00F617CD"/>
    <w:rsid w:val="00F626A1"/>
    <w:rsid w:val="00F631FE"/>
    <w:rsid w:val="00F632F3"/>
    <w:rsid w:val="00F6725D"/>
    <w:rsid w:val="00F678A6"/>
    <w:rsid w:val="00F70B12"/>
    <w:rsid w:val="00F86150"/>
    <w:rsid w:val="00F878E3"/>
    <w:rsid w:val="00F9022A"/>
    <w:rsid w:val="00F91BC5"/>
    <w:rsid w:val="00F91DCA"/>
    <w:rsid w:val="00F93564"/>
    <w:rsid w:val="00F97C25"/>
    <w:rsid w:val="00FA0E71"/>
    <w:rsid w:val="00FA7875"/>
    <w:rsid w:val="00FA7D4A"/>
    <w:rsid w:val="00FB192D"/>
    <w:rsid w:val="00FB5600"/>
    <w:rsid w:val="00FB5BE9"/>
    <w:rsid w:val="00FB6DD3"/>
    <w:rsid w:val="00FC10BB"/>
    <w:rsid w:val="00FC770B"/>
    <w:rsid w:val="00FD040F"/>
    <w:rsid w:val="00FD0B4B"/>
    <w:rsid w:val="00FD5188"/>
    <w:rsid w:val="00FD680E"/>
    <w:rsid w:val="00FD6916"/>
    <w:rsid w:val="00FD7DFE"/>
    <w:rsid w:val="00FE340B"/>
    <w:rsid w:val="00FE38D1"/>
    <w:rsid w:val="00FF091D"/>
    <w:rsid w:val="00FF28B0"/>
    <w:rsid w:val="00FF54CA"/>
    <w:rsid w:val="00FF5C58"/>
    <w:rsid w:val="00FF66F7"/>
    <w:rsid w:val="059B7F37"/>
    <w:rsid w:val="05F827E9"/>
    <w:rsid w:val="203B01C8"/>
    <w:rsid w:val="20CE7B33"/>
    <w:rsid w:val="2F2005F5"/>
    <w:rsid w:val="321903B7"/>
    <w:rsid w:val="3666026B"/>
    <w:rsid w:val="3BB75722"/>
    <w:rsid w:val="3BC529ED"/>
    <w:rsid w:val="3F8B2F12"/>
    <w:rsid w:val="43474080"/>
    <w:rsid w:val="477848B2"/>
    <w:rsid w:val="47CA3D5D"/>
    <w:rsid w:val="4BC31415"/>
    <w:rsid w:val="52B968B3"/>
    <w:rsid w:val="63D82276"/>
    <w:rsid w:val="6DB51D58"/>
    <w:rsid w:val="76D659FF"/>
    <w:rsid w:val="7DFA2597"/>
    <w:rsid w:val="7FFD61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szCs w:val="24"/>
    </w:rPr>
  </w:style>
  <w:style w:type="paragraph" w:styleId="7">
    <w:name w:val="Title"/>
    <w:basedOn w:val="1"/>
    <w:next w:val="1"/>
    <w:link w:val="16"/>
    <w:qFormat/>
    <w:uiPriority w:val="0"/>
    <w:pPr>
      <w:spacing w:before="240" w:after="60"/>
      <w:jc w:val="center"/>
      <w:outlineLvl w:val="0"/>
    </w:pPr>
    <w:rPr>
      <w:rFonts w:ascii="Cambria" w:hAnsi="Cambria" w:eastAsiaTheme="minorEastAsia" w:cstheme="minorBidi"/>
      <w:b/>
      <w:bCs/>
      <w:sz w:val="32"/>
      <w:szCs w:val="32"/>
    </w:rPr>
  </w:style>
  <w:style w:type="paragraph" w:styleId="8">
    <w:name w:val="annotation subject"/>
    <w:basedOn w:val="2"/>
    <w:next w:val="2"/>
    <w:link w:val="22"/>
    <w:semiHidden/>
    <w:unhideWhenUsed/>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5"/>
    <w:qFormat/>
    <w:uiPriority w:val="99"/>
    <w:rPr>
      <w:sz w:val="18"/>
      <w:szCs w:val="18"/>
    </w:rPr>
  </w:style>
  <w:style w:type="character" w:customStyle="1" w:styleId="15">
    <w:name w:val="页脚 Char"/>
    <w:basedOn w:val="11"/>
    <w:link w:val="4"/>
    <w:qFormat/>
    <w:uiPriority w:val="99"/>
    <w:rPr>
      <w:sz w:val="18"/>
      <w:szCs w:val="18"/>
    </w:rPr>
  </w:style>
  <w:style w:type="character" w:customStyle="1" w:styleId="16">
    <w:name w:val="标题 Char1"/>
    <w:link w:val="7"/>
    <w:qFormat/>
    <w:uiPriority w:val="0"/>
    <w:rPr>
      <w:rFonts w:ascii="Cambria" w:hAnsi="Cambria"/>
      <w:b/>
      <w:bCs/>
      <w:sz w:val="32"/>
      <w:szCs w:val="32"/>
    </w:rPr>
  </w:style>
  <w:style w:type="character" w:customStyle="1" w:styleId="17">
    <w:name w:val="标题 字符"/>
    <w:basedOn w:val="11"/>
    <w:qFormat/>
    <w:uiPriority w:val="10"/>
    <w:rPr>
      <w:rFonts w:asciiTheme="majorHAnsi" w:hAnsiTheme="majorHAnsi" w:eastAsiaTheme="majorEastAsia" w:cstheme="majorBidi"/>
      <w:b/>
      <w:bCs/>
      <w:sz w:val="32"/>
      <w:szCs w:val="32"/>
    </w:rPr>
  </w:style>
  <w:style w:type="character" w:customStyle="1" w:styleId="18">
    <w:name w:val="标题 Char"/>
    <w:qFormat/>
    <w:uiPriority w:val="0"/>
    <w:rPr>
      <w:rFonts w:ascii="Cambria" w:hAnsi="Cambria"/>
      <w:b/>
      <w:bCs/>
      <w:kern w:val="2"/>
      <w:sz w:val="32"/>
      <w:szCs w:val="32"/>
    </w:rPr>
  </w:style>
  <w:style w:type="paragraph" w:styleId="19">
    <w:name w:val="List Paragraph"/>
    <w:basedOn w:val="1"/>
    <w:qFormat/>
    <w:uiPriority w:val="34"/>
    <w:pPr>
      <w:ind w:firstLine="420" w:firstLineChars="200"/>
    </w:pPr>
  </w:style>
  <w:style w:type="character" w:customStyle="1" w:styleId="20">
    <w:name w:val="批注框文本 Char"/>
    <w:basedOn w:val="11"/>
    <w:link w:val="3"/>
    <w:semiHidden/>
    <w:qFormat/>
    <w:uiPriority w:val="99"/>
    <w:rPr>
      <w:rFonts w:ascii="Calibri" w:hAnsi="Calibri" w:eastAsia="宋体" w:cs="Times New Roman"/>
      <w:sz w:val="18"/>
      <w:szCs w:val="18"/>
    </w:rPr>
  </w:style>
  <w:style w:type="character" w:customStyle="1" w:styleId="21">
    <w:name w:val="批注文字 Char"/>
    <w:basedOn w:val="11"/>
    <w:link w:val="2"/>
    <w:semiHidden/>
    <w:qFormat/>
    <w:uiPriority w:val="99"/>
    <w:rPr>
      <w:rFonts w:ascii="Calibri" w:hAnsi="Calibri"/>
      <w:kern w:val="2"/>
      <w:sz w:val="21"/>
      <w:szCs w:val="22"/>
    </w:rPr>
  </w:style>
  <w:style w:type="character" w:customStyle="1" w:styleId="22">
    <w:name w:val="批注主题 Char"/>
    <w:basedOn w:val="21"/>
    <w:link w:val="8"/>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AC87F-8382-42DD-981E-EF49A6F181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1415</Words>
  <Characters>8070</Characters>
  <Lines>67</Lines>
  <Paragraphs>18</Paragraphs>
  <TotalTime>0</TotalTime>
  <ScaleCrop>false</ScaleCrop>
  <LinksUpToDate>false</LinksUpToDate>
  <CharactersWithSpaces>9467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2020-04-21T03:37:00Z</dcterms:created>
  <dc:creator>Windows 用户</dc:creator>
  <cp:lastModifiedBy>永远的水禾</cp:lastModifiedBy>
  <cp:lastPrinted>2020-04-21T03:31:00Z</cp:lastPrinted>
  <dcterms:modified xsi:type="dcterms:W3CDTF">2020-04-23T07:45:47Z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